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EA5B2B" w:rsidRDefault="006544C4" w:rsidP="00EA5B2B">
      <w:pPr>
        <w:jc w:val="center"/>
        <w:rPr>
          <w:lang w:val="fr-FR"/>
        </w:rPr>
      </w:pPr>
      <w:bookmarkStart w:id="0" w:name="_GoBack"/>
      <w:bookmarkEnd w:id="0"/>
    </w:p>
    <w:p w:rsidR="0094178F" w:rsidRPr="00EA5B2B" w:rsidRDefault="0094178F" w:rsidP="00EA5B2B">
      <w:pPr>
        <w:jc w:val="center"/>
        <w:rPr>
          <w:sz w:val="4"/>
          <w:szCs w:val="4"/>
          <w:lang w:val="fr-FR"/>
        </w:rPr>
      </w:pPr>
    </w:p>
    <w:p w:rsidR="006544C4" w:rsidRPr="00EA5B2B" w:rsidRDefault="00E67910" w:rsidP="00EA5B2B">
      <w:pPr>
        <w:pStyle w:val="DecHTitle"/>
        <w:rPr>
          <w:lang w:val="fr-FR"/>
        </w:rPr>
      </w:pPr>
      <w:r w:rsidRPr="00EA5B2B">
        <w:rPr>
          <w:szCs w:val="24"/>
          <w:lang w:val="fr-FR"/>
        </w:rPr>
        <w:t>PREMIÈRE SECTION</w:t>
      </w:r>
    </w:p>
    <w:p w:rsidR="006544C4" w:rsidRPr="00EA5B2B" w:rsidRDefault="006544C4" w:rsidP="00EA5B2B">
      <w:pPr>
        <w:pStyle w:val="DecHTitle"/>
        <w:rPr>
          <w:caps/>
          <w:sz w:val="32"/>
          <w:lang w:val="fr-FR"/>
        </w:rPr>
      </w:pPr>
      <w:r w:rsidRPr="00EA5B2B">
        <w:rPr>
          <w:lang w:val="fr-FR"/>
        </w:rPr>
        <w:t>DÉCISION</w:t>
      </w:r>
    </w:p>
    <w:p w:rsidR="006544C4" w:rsidRPr="00EA5B2B" w:rsidRDefault="00E67910" w:rsidP="00EA5B2B">
      <w:pPr>
        <w:pStyle w:val="ECHRTitleCentre2"/>
        <w:rPr>
          <w:lang w:val="fr-FR"/>
        </w:rPr>
      </w:pPr>
      <w:r w:rsidRPr="00EA5B2B">
        <w:rPr>
          <w:lang w:val="fr-FR"/>
        </w:rPr>
        <w:t>Requête n</w:t>
      </w:r>
      <w:r w:rsidRPr="00EA5B2B">
        <w:rPr>
          <w:vertAlign w:val="superscript"/>
          <w:lang w:val="fr-FR"/>
        </w:rPr>
        <w:t>o</w:t>
      </w:r>
      <w:r w:rsidR="006544C4" w:rsidRPr="00EA5B2B">
        <w:rPr>
          <w:lang w:val="fr-FR"/>
        </w:rPr>
        <w:t xml:space="preserve"> </w:t>
      </w:r>
      <w:r w:rsidRPr="00EA5B2B">
        <w:rPr>
          <w:lang w:val="fr-FR"/>
        </w:rPr>
        <w:t>30290/15</w:t>
      </w:r>
      <w:r w:rsidR="006544C4" w:rsidRPr="00EA5B2B">
        <w:rPr>
          <w:lang w:val="fr-FR"/>
        </w:rPr>
        <w:br/>
      </w:r>
      <w:r w:rsidRPr="00EA5B2B">
        <w:rPr>
          <w:lang w:val="fr-FR"/>
        </w:rPr>
        <w:t xml:space="preserve">L.M. </w:t>
      </w:r>
      <w:r w:rsidR="006544C4" w:rsidRPr="00EA5B2B">
        <w:rPr>
          <w:lang w:val="fr-FR"/>
        </w:rPr>
        <w:t xml:space="preserve">contre </w:t>
      </w:r>
      <w:r w:rsidRPr="00EA5B2B">
        <w:rPr>
          <w:lang w:val="fr-FR"/>
        </w:rPr>
        <w:t>l</w:t>
      </w:r>
      <w:r w:rsidR="00EA5B2B" w:rsidRPr="00EA5B2B">
        <w:rPr>
          <w:lang w:val="fr-FR"/>
        </w:rPr>
        <w:t>’</w:t>
      </w:r>
      <w:r w:rsidRPr="00EA5B2B">
        <w:rPr>
          <w:lang w:val="fr-FR"/>
        </w:rPr>
        <w:t>Italie</w:t>
      </w:r>
      <w:r w:rsidRPr="00EA5B2B">
        <w:rPr>
          <w:lang w:val="fr-FR"/>
        </w:rPr>
        <w:br/>
        <w:t xml:space="preserve">et 6 autres </w:t>
      </w:r>
      <w:proofErr w:type="gramStart"/>
      <w:r w:rsidRPr="00EA5B2B">
        <w:rPr>
          <w:lang w:val="fr-FR"/>
        </w:rPr>
        <w:t>requêtes</w:t>
      </w:r>
      <w:proofErr w:type="gramEnd"/>
      <w:r w:rsidRPr="00EA5B2B">
        <w:rPr>
          <w:lang w:val="fr-FR"/>
        </w:rPr>
        <w:br/>
        <w:t>(voir liste en annexe)</w:t>
      </w:r>
    </w:p>
    <w:p w:rsidR="00E67910" w:rsidRPr="00EA5B2B" w:rsidRDefault="00E67910" w:rsidP="00EA5B2B">
      <w:pPr>
        <w:pStyle w:val="ECHRPara"/>
        <w:rPr>
          <w:lang w:val="fr-FR"/>
        </w:rPr>
      </w:pPr>
      <w:r w:rsidRPr="00EA5B2B">
        <w:rPr>
          <w:lang w:val="fr-FR"/>
        </w:rPr>
        <w:t>La Cour européenne des droits de l</w:t>
      </w:r>
      <w:r w:rsidR="00EA5B2B" w:rsidRPr="00EA5B2B">
        <w:rPr>
          <w:lang w:val="fr-FR"/>
        </w:rPr>
        <w:t>’</w:t>
      </w:r>
      <w:r w:rsidRPr="00EA5B2B">
        <w:rPr>
          <w:lang w:val="fr-FR"/>
        </w:rPr>
        <w:t>homme (</w:t>
      </w:r>
      <w:r w:rsidR="007672B7" w:rsidRPr="00EA5B2B">
        <w:rPr>
          <w:lang w:val="fr-FR"/>
        </w:rPr>
        <w:t>première section), siégeant le 16</w:t>
      </w:r>
      <w:r w:rsidRPr="00EA5B2B">
        <w:rPr>
          <w:lang w:val="fr-FR"/>
        </w:rPr>
        <w:t xml:space="preserve"> </w:t>
      </w:r>
      <w:r w:rsidR="007672B7" w:rsidRPr="00EA5B2B">
        <w:rPr>
          <w:lang w:val="fr-FR"/>
        </w:rPr>
        <w:t>janvier 2018</w:t>
      </w:r>
      <w:r w:rsidRPr="00EA5B2B">
        <w:rPr>
          <w:lang w:val="fr-FR"/>
        </w:rPr>
        <w:t xml:space="preserve"> en un comité composé de :</w:t>
      </w:r>
    </w:p>
    <w:p w:rsidR="00E67910" w:rsidRPr="00EA5B2B" w:rsidRDefault="00E67910" w:rsidP="00EA5B2B">
      <w:pPr>
        <w:pStyle w:val="ECHRDecisionBody"/>
        <w:rPr>
          <w:lang w:val="fr-FR"/>
        </w:rPr>
      </w:pPr>
      <w:r w:rsidRPr="00EA5B2B">
        <w:rPr>
          <w:lang w:val="fr-FR"/>
        </w:rPr>
        <w:tab/>
        <w:t xml:space="preserve">Kristina </w:t>
      </w:r>
      <w:proofErr w:type="spellStart"/>
      <w:r w:rsidRPr="00EA5B2B">
        <w:rPr>
          <w:lang w:val="fr-FR"/>
        </w:rPr>
        <w:t>Pardalos</w:t>
      </w:r>
      <w:proofErr w:type="spellEnd"/>
      <w:r w:rsidRPr="00EA5B2B">
        <w:rPr>
          <w:lang w:val="fr-FR"/>
        </w:rPr>
        <w:t>,</w:t>
      </w:r>
      <w:r w:rsidRPr="00EA5B2B">
        <w:rPr>
          <w:i/>
          <w:lang w:val="fr-FR"/>
        </w:rPr>
        <w:t xml:space="preserve"> présidente,</w:t>
      </w:r>
      <w:r w:rsidRPr="00EA5B2B">
        <w:rPr>
          <w:i/>
          <w:lang w:val="fr-FR"/>
        </w:rPr>
        <w:br/>
      </w:r>
      <w:r w:rsidRPr="00EA5B2B">
        <w:rPr>
          <w:lang w:val="fr-FR"/>
        </w:rPr>
        <w:tab/>
      </w:r>
      <w:proofErr w:type="spellStart"/>
      <w:r w:rsidRPr="00EA5B2B">
        <w:rPr>
          <w:lang w:val="fr-FR"/>
        </w:rPr>
        <w:t>Ksenija</w:t>
      </w:r>
      <w:proofErr w:type="spellEnd"/>
      <w:r w:rsidRPr="00EA5B2B">
        <w:rPr>
          <w:lang w:val="fr-FR"/>
        </w:rPr>
        <w:t xml:space="preserve"> </w:t>
      </w:r>
      <w:proofErr w:type="spellStart"/>
      <w:r w:rsidRPr="00EA5B2B">
        <w:rPr>
          <w:lang w:val="fr-FR"/>
        </w:rPr>
        <w:t>Turković</w:t>
      </w:r>
      <w:proofErr w:type="spellEnd"/>
      <w:r w:rsidRPr="00EA5B2B">
        <w:rPr>
          <w:lang w:val="fr-FR"/>
        </w:rPr>
        <w:t>,</w:t>
      </w:r>
      <w:r w:rsidRPr="00EA5B2B">
        <w:rPr>
          <w:i/>
          <w:lang w:val="fr-FR"/>
        </w:rPr>
        <w:br/>
      </w:r>
      <w:r w:rsidRPr="00EA5B2B">
        <w:rPr>
          <w:lang w:val="fr-FR"/>
        </w:rPr>
        <w:tab/>
        <w:t xml:space="preserve">Tim </w:t>
      </w:r>
      <w:proofErr w:type="spellStart"/>
      <w:r w:rsidRPr="00EA5B2B">
        <w:rPr>
          <w:lang w:val="fr-FR"/>
        </w:rPr>
        <w:t>Eicke</w:t>
      </w:r>
      <w:proofErr w:type="spellEnd"/>
      <w:r w:rsidRPr="00EA5B2B">
        <w:rPr>
          <w:lang w:val="fr-FR"/>
        </w:rPr>
        <w:t>,</w:t>
      </w:r>
      <w:r w:rsidRPr="00EA5B2B">
        <w:rPr>
          <w:i/>
          <w:lang w:val="fr-FR"/>
        </w:rPr>
        <w:t xml:space="preserve"> juges,</w:t>
      </w:r>
    </w:p>
    <w:p w:rsidR="00E67910" w:rsidRPr="00EA5B2B" w:rsidRDefault="00E67910" w:rsidP="00EA5B2B">
      <w:pPr>
        <w:pStyle w:val="ECHRPara"/>
        <w:ind w:firstLine="0"/>
        <w:rPr>
          <w:lang w:val="fr-FR"/>
        </w:rPr>
      </w:pPr>
      <w:proofErr w:type="gramStart"/>
      <w:r w:rsidRPr="00EA5B2B">
        <w:rPr>
          <w:lang w:val="fr-FR"/>
        </w:rPr>
        <w:t>et</w:t>
      </w:r>
      <w:proofErr w:type="gramEnd"/>
      <w:r w:rsidRPr="00EA5B2B">
        <w:rPr>
          <w:lang w:val="fr-FR"/>
        </w:rPr>
        <w:t xml:space="preserve"> de Renata Degener, </w:t>
      </w:r>
      <w:r w:rsidRPr="00EA5B2B">
        <w:rPr>
          <w:i/>
          <w:lang w:val="fr-FR"/>
        </w:rPr>
        <w:t>greffière adjointe</w:t>
      </w:r>
      <w:r w:rsidRPr="00EA5B2B">
        <w:rPr>
          <w:i/>
          <w:iCs/>
          <w:lang w:val="fr-FR"/>
        </w:rPr>
        <w:t xml:space="preserve"> d</w:t>
      </w:r>
      <w:r w:rsidRPr="00EA5B2B">
        <w:rPr>
          <w:i/>
          <w:lang w:val="fr-FR"/>
        </w:rPr>
        <w:t>e section,</w:t>
      </w:r>
    </w:p>
    <w:p w:rsidR="00E67910" w:rsidRPr="00EA5B2B" w:rsidRDefault="00E67910" w:rsidP="00EA5B2B">
      <w:pPr>
        <w:pStyle w:val="ECHRPara"/>
        <w:rPr>
          <w:lang w:val="fr-FR"/>
        </w:rPr>
      </w:pPr>
      <w:r w:rsidRPr="00EA5B2B">
        <w:rPr>
          <w:lang w:val="fr-FR"/>
        </w:rPr>
        <w:t>Vu les requêtes susmentionnées introduites aux dates indiquées dans le tableau joint en annexe,</w:t>
      </w:r>
    </w:p>
    <w:p w:rsidR="00E67910" w:rsidRPr="00EA5B2B" w:rsidRDefault="00E67910" w:rsidP="00EA5B2B">
      <w:pPr>
        <w:pStyle w:val="ECHRPara"/>
        <w:rPr>
          <w:color w:val="000000"/>
          <w:lang w:val="fr-FR"/>
        </w:rPr>
      </w:pPr>
      <w:r w:rsidRPr="00EA5B2B">
        <w:rPr>
          <w:lang w:val="fr-FR"/>
        </w:rPr>
        <w:t>Après en avoir délibéré, rend la décision suivante :</w:t>
      </w:r>
    </w:p>
    <w:p w:rsidR="00E67910" w:rsidRPr="00EA5B2B" w:rsidRDefault="00E67910" w:rsidP="00EA5B2B">
      <w:pPr>
        <w:pStyle w:val="ECHRTitle1"/>
        <w:rPr>
          <w:lang w:val="fr-FR"/>
        </w:rPr>
      </w:pPr>
      <w:r w:rsidRPr="00EA5B2B">
        <w:rPr>
          <w:lang w:val="fr-FR"/>
        </w:rPr>
        <w:t>EN FAIT</w:t>
      </w:r>
    </w:p>
    <w:p w:rsidR="00E67910" w:rsidRPr="00EA5B2B" w:rsidRDefault="00E67910" w:rsidP="00EA5B2B">
      <w:pPr>
        <w:pStyle w:val="ECHRPara"/>
        <w:rPr>
          <w:lang w:val="fr-FR"/>
        </w:rPr>
      </w:pPr>
      <w:r w:rsidRPr="00EA5B2B">
        <w:rPr>
          <w:lang w:val="fr-FR"/>
        </w:rPr>
        <w:t>La liste des parties requérantes et de leurs représentants figure en annexe.</w:t>
      </w:r>
    </w:p>
    <w:p w:rsidR="00E67910" w:rsidRPr="00EA5B2B" w:rsidRDefault="00E67910" w:rsidP="00EA5B2B">
      <w:pPr>
        <w:pStyle w:val="ECHRHeading2"/>
        <w:rPr>
          <w:lang w:val="fr-FR"/>
        </w:rPr>
      </w:pPr>
      <w:r w:rsidRPr="00EA5B2B">
        <w:rPr>
          <w:lang w:val="fr-FR"/>
        </w:rPr>
        <w:t>A.  Les circonstances de l</w:t>
      </w:r>
      <w:r w:rsidR="00EA5B2B" w:rsidRPr="00EA5B2B">
        <w:rPr>
          <w:lang w:val="fr-FR"/>
        </w:rPr>
        <w:t>’</w:t>
      </w:r>
      <w:r w:rsidRPr="00EA5B2B">
        <w:rPr>
          <w:lang w:val="fr-FR"/>
        </w:rPr>
        <w:t>espèce</w:t>
      </w:r>
    </w:p>
    <w:p w:rsidR="00E67910" w:rsidRPr="00EA5B2B" w:rsidRDefault="00E67910" w:rsidP="00EA5B2B">
      <w:pPr>
        <w:pStyle w:val="ECHRPara"/>
        <w:rPr>
          <w:lang w:val="fr-FR"/>
        </w:rPr>
      </w:pPr>
      <w:r w:rsidRPr="00EA5B2B">
        <w:rPr>
          <w:lang w:val="fr-FR"/>
        </w:rPr>
        <w:t>1.  Les faits de la cause, tels qu</w:t>
      </w:r>
      <w:r w:rsidR="00EA5B2B" w:rsidRPr="00EA5B2B">
        <w:rPr>
          <w:lang w:val="fr-FR"/>
        </w:rPr>
        <w:t>’</w:t>
      </w:r>
      <w:r w:rsidRPr="00EA5B2B">
        <w:rPr>
          <w:lang w:val="fr-FR"/>
        </w:rPr>
        <w:t>ils ont été exposés par les requérants, peuvent se résumer comme suit.</w:t>
      </w:r>
    </w:p>
    <w:p w:rsidR="00E67910" w:rsidRPr="00EA5B2B" w:rsidRDefault="00E67910" w:rsidP="00EA5B2B">
      <w:pPr>
        <w:pStyle w:val="ECHRPara"/>
        <w:rPr>
          <w:lang w:val="fr-FR"/>
        </w:rPr>
      </w:pPr>
      <w:r w:rsidRPr="00EA5B2B">
        <w:rPr>
          <w:lang w:val="fr-FR"/>
        </w:rPr>
        <w:t xml:space="preserve">2.  Les requérants ou leurs </w:t>
      </w:r>
      <w:r w:rsidRPr="00EA5B2B">
        <w:rPr>
          <w:i/>
          <w:lang w:val="fr-FR"/>
        </w:rPr>
        <w:t>de cujus</w:t>
      </w:r>
      <w:r w:rsidRPr="00EA5B2B">
        <w:rPr>
          <w:lang w:val="fr-FR"/>
        </w:rPr>
        <w:t xml:space="preserve"> ont été infectés par différents virus (HIV, hépatite B ou hépatite C) lors de transfusions de sang ou d</w:t>
      </w:r>
      <w:r w:rsidR="00EA5B2B" w:rsidRPr="00EA5B2B">
        <w:rPr>
          <w:lang w:val="fr-FR"/>
        </w:rPr>
        <w:t>’</w:t>
      </w:r>
      <w:r w:rsidRPr="00EA5B2B">
        <w:rPr>
          <w:lang w:val="fr-FR"/>
        </w:rPr>
        <w:t>opérations chirurgicales qu</w:t>
      </w:r>
      <w:r w:rsidR="00EA5B2B" w:rsidRPr="00EA5B2B">
        <w:rPr>
          <w:lang w:val="fr-FR"/>
        </w:rPr>
        <w:t>’</w:t>
      </w:r>
      <w:r w:rsidRPr="00EA5B2B">
        <w:rPr>
          <w:lang w:val="fr-FR"/>
        </w:rPr>
        <w:t xml:space="preserve">ils avaient subi. À différentes dates, ils ont entamé des actions en indemnisation visant à obtenir le dédommagement des préjudices subis par eux même ou leur </w:t>
      </w:r>
      <w:r w:rsidRPr="00EA5B2B">
        <w:rPr>
          <w:i/>
          <w:lang w:val="fr-FR"/>
        </w:rPr>
        <w:t>de cujus</w:t>
      </w:r>
      <w:r w:rsidRPr="00EA5B2B">
        <w:rPr>
          <w:lang w:val="fr-FR"/>
        </w:rPr>
        <w:t>.</w:t>
      </w:r>
    </w:p>
    <w:p w:rsidR="00E67910" w:rsidRPr="00EA5B2B" w:rsidRDefault="00E67910" w:rsidP="00EA5B2B">
      <w:pPr>
        <w:pStyle w:val="ECHRPara"/>
        <w:rPr>
          <w:lang w:val="fr-FR"/>
        </w:rPr>
      </w:pPr>
      <w:r w:rsidRPr="00EA5B2B">
        <w:rPr>
          <w:lang w:val="fr-FR"/>
        </w:rPr>
        <w:t>3.  Les requérants ont saisi la Cour en se plaignant de l</w:t>
      </w:r>
      <w:r w:rsidR="00EA5B2B" w:rsidRPr="00EA5B2B">
        <w:rPr>
          <w:lang w:val="fr-FR"/>
        </w:rPr>
        <w:t>’</w:t>
      </w:r>
      <w:r w:rsidRPr="00EA5B2B">
        <w:rPr>
          <w:lang w:val="fr-FR"/>
        </w:rPr>
        <w:t>introduction de nouveaux critères établis leur empêchant de parvenir aux règlements à l</w:t>
      </w:r>
      <w:r w:rsidR="00EA5B2B" w:rsidRPr="00EA5B2B">
        <w:rPr>
          <w:lang w:val="fr-FR"/>
        </w:rPr>
        <w:t>’</w:t>
      </w:r>
      <w:r w:rsidRPr="00EA5B2B">
        <w:rPr>
          <w:lang w:val="fr-FR"/>
        </w:rPr>
        <w:t xml:space="preserve">amiable de leurs actions civiles (articles 2, 6 § 1, 8 et 13 de la Convention </w:t>
      </w:r>
      <w:r w:rsidRPr="00EA5B2B">
        <w:rPr>
          <w:lang w:val="fr-FR"/>
        </w:rPr>
        <w:lastRenderedPageBreak/>
        <w:t>et 1 du Protocole n</w:t>
      </w:r>
      <w:r w:rsidRPr="00EA5B2B">
        <w:rPr>
          <w:vertAlign w:val="superscript"/>
          <w:lang w:val="fr-FR"/>
        </w:rPr>
        <w:t>o</w:t>
      </w:r>
      <w:r w:rsidRPr="00EA5B2B">
        <w:rPr>
          <w:lang w:val="fr-FR"/>
        </w:rPr>
        <w:t xml:space="preserve"> 1). Certains parmi eux dénoncent aussi la longueur excessive des procédures en dédommagement et le rejet de leurs demandes d</w:t>
      </w:r>
      <w:r w:rsidR="00EA5B2B" w:rsidRPr="00EA5B2B">
        <w:rPr>
          <w:lang w:val="fr-FR"/>
        </w:rPr>
        <w:t>’</w:t>
      </w:r>
      <w:r w:rsidRPr="00EA5B2B">
        <w:rPr>
          <w:lang w:val="fr-FR"/>
        </w:rPr>
        <w:t>indemnisation (article 2 de la Convention, volet procédural).</w:t>
      </w:r>
    </w:p>
    <w:p w:rsidR="00E67910" w:rsidRPr="00EA5B2B" w:rsidRDefault="007672B7" w:rsidP="00EA5B2B">
      <w:pPr>
        <w:pStyle w:val="ECHRPara"/>
        <w:rPr>
          <w:lang w:val="fr-FR"/>
        </w:rPr>
      </w:pPr>
      <w:r w:rsidRPr="00EA5B2B">
        <w:rPr>
          <w:lang w:val="fr-FR"/>
        </w:rPr>
        <w:t>4.  Par des lettres des</w:t>
      </w:r>
      <w:r w:rsidR="00E67910" w:rsidRPr="00EA5B2B">
        <w:rPr>
          <w:lang w:val="fr-FR"/>
        </w:rPr>
        <w:t xml:space="preserve"> 9 janvier </w:t>
      </w:r>
      <w:r w:rsidRPr="00EA5B2B">
        <w:rPr>
          <w:lang w:val="fr-FR"/>
        </w:rPr>
        <w:t xml:space="preserve">et </w:t>
      </w:r>
      <w:r w:rsidR="00E67910" w:rsidRPr="00EA5B2B">
        <w:rPr>
          <w:lang w:val="fr-FR"/>
        </w:rPr>
        <w:t>20 octobre 2017, les représentants des requérants ont informé la Cour que leurs clients avaient accepté le montant à titre de satisfaction équitable prévu dans le cadre du remède compensatoire de l</w:t>
      </w:r>
      <w:r w:rsidR="00EA5B2B" w:rsidRPr="00EA5B2B">
        <w:rPr>
          <w:lang w:val="fr-FR"/>
        </w:rPr>
        <w:t>’</w:t>
      </w:r>
      <w:r w:rsidR="00E67910" w:rsidRPr="00EA5B2B">
        <w:rPr>
          <w:lang w:val="fr-FR"/>
        </w:rPr>
        <w:t>article 27-</w:t>
      </w:r>
      <w:r w:rsidR="00E67910" w:rsidRPr="00EA5B2B">
        <w:rPr>
          <w:i/>
          <w:lang w:val="fr-FR"/>
        </w:rPr>
        <w:t xml:space="preserve">bis </w:t>
      </w:r>
      <w:r w:rsidR="00E67910" w:rsidRPr="00EA5B2B">
        <w:rPr>
          <w:lang w:val="fr-FR"/>
        </w:rPr>
        <w:t>du décret-loi n</w:t>
      </w:r>
      <w:r w:rsidR="00E67910" w:rsidRPr="00EA5B2B">
        <w:rPr>
          <w:vertAlign w:val="superscript"/>
          <w:lang w:val="fr-FR"/>
        </w:rPr>
        <w:t>o</w:t>
      </w:r>
      <w:r w:rsidR="00E67910" w:rsidRPr="00EA5B2B">
        <w:rPr>
          <w:lang w:val="fr-FR"/>
        </w:rPr>
        <w:t xml:space="preserve"> 90 du 24 juin 2014, converti en la loi n</w:t>
      </w:r>
      <w:r w:rsidR="00E67910" w:rsidRPr="00EA5B2B">
        <w:rPr>
          <w:vertAlign w:val="superscript"/>
          <w:lang w:val="fr-FR"/>
        </w:rPr>
        <w:t>o</w:t>
      </w:r>
      <w:r w:rsidR="00873EC6" w:rsidRPr="00EA5B2B">
        <w:rPr>
          <w:lang w:val="fr-FR"/>
        </w:rPr>
        <w:t> </w:t>
      </w:r>
      <w:r w:rsidR="00E67910" w:rsidRPr="00EA5B2B">
        <w:rPr>
          <w:lang w:val="fr-FR"/>
        </w:rPr>
        <w:t>114 du 11 août 2014. Ce remède prévoit la possibilité de dédommager, avec l</w:t>
      </w:r>
      <w:r w:rsidR="00EA5B2B" w:rsidRPr="00EA5B2B">
        <w:rPr>
          <w:lang w:val="fr-FR"/>
        </w:rPr>
        <w:t>’</w:t>
      </w:r>
      <w:r w:rsidR="00E67910" w:rsidRPr="00EA5B2B">
        <w:rPr>
          <w:lang w:val="fr-FR"/>
        </w:rPr>
        <w:t>octroi d</w:t>
      </w:r>
      <w:r w:rsidR="00EA5B2B" w:rsidRPr="00EA5B2B">
        <w:rPr>
          <w:lang w:val="fr-FR"/>
        </w:rPr>
        <w:t>’</w:t>
      </w:r>
      <w:r w:rsidR="00E67910" w:rsidRPr="00EA5B2B">
        <w:rPr>
          <w:lang w:val="fr-FR"/>
        </w:rPr>
        <w:t>une somme à titre de satisfaction équitable, les personnes ayant subi un préjudice dérivant de la transfusion de sang infecté, de l</w:t>
      </w:r>
      <w:r w:rsidR="00EA5B2B" w:rsidRPr="00EA5B2B">
        <w:rPr>
          <w:lang w:val="fr-FR"/>
        </w:rPr>
        <w:t>’</w:t>
      </w:r>
      <w:r w:rsidR="00E67910" w:rsidRPr="00EA5B2B">
        <w:rPr>
          <w:lang w:val="fr-FR"/>
        </w:rPr>
        <w:t>administration de produits infectés dérivés du sang ou des vaccinations obligatoires.</w:t>
      </w:r>
    </w:p>
    <w:p w:rsidR="00E67910" w:rsidRPr="00EA5B2B" w:rsidRDefault="00E67910" w:rsidP="00EA5B2B">
      <w:pPr>
        <w:pStyle w:val="ECHRPara"/>
        <w:rPr>
          <w:lang w:val="fr-FR"/>
        </w:rPr>
      </w:pPr>
      <w:r w:rsidRPr="00EA5B2B">
        <w:rPr>
          <w:lang w:val="fr-FR"/>
        </w:rPr>
        <w:t>5.  La Cour a été informée, également, que les requérants indiqués dans la liste en annexe aux n</w:t>
      </w:r>
      <w:r w:rsidRPr="00EA5B2B">
        <w:rPr>
          <w:vertAlign w:val="superscript"/>
          <w:lang w:val="fr-FR"/>
        </w:rPr>
        <w:t>os</w:t>
      </w:r>
      <w:r w:rsidRPr="00EA5B2B">
        <w:rPr>
          <w:lang w:val="fr-FR"/>
        </w:rPr>
        <w:t xml:space="preserve"> 2, 3, 4 et 6 ont déjà reçu cette somme.</w:t>
      </w:r>
    </w:p>
    <w:p w:rsidR="00E67910" w:rsidRPr="00EA5B2B" w:rsidRDefault="00E67910" w:rsidP="00EA5B2B">
      <w:pPr>
        <w:pStyle w:val="ECHRHeading2"/>
        <w:rPr>
          <w:lang w:val="fr-FR"/>
        </w:rPr>
      </w:pPr>
      <w:r w:rsidRPr="00EA5B2B">
        <w:rPr>
          <w:lang w:val="fr-FR"/>
        </w:rPr>
        <w:t>B.  Le droit interne pertinent</w:t>
      </w:r>
    </w:p>
    <w:p w:rsidR="00E67910" w:rsidRPr="00EA5B2B" w:rsidRDefault="00E67910" w:rsidP="00EA5B2B">
      <w:pPr>
        <w:pStyle w:val="ECHRPara"/>
        <w:rPr>
          <w:lang w:val="fr-FR"/>
        </w:rPr>
      </w:pPr>
      <w:r w:rsidRPr="00EA5B2B">
        <w:rPr>
          <w:lang w:val="fr-FR"/>
        </w:rPr>
        <w:t>6.  Le texte de l</w:t>
      </w:r>
      <w:r w:rsidR="00EA5B2B" w:rsidRPr="00EA5B2B">
        <w:rPr>
          <w:lang w:val="fr-FR"/>
        </w:rPr>
        <w:t>’</w:t>
      </w:r>
      <w:r w:rsidRPr="00EA5B2B">
        <w:rPr>
          <w:lang w:val="fr-FR"/>
        </w:rPr>
        <w:t>article 27-</w:t>
      </w:r>
      <w:r w:rsidRPr="00EA5B2B">
        <w:rPr>
          <w:i/>
          <w:lang w:val="fr-FR"/>
        </w:rPr>
        <w:t>bis</w:t>
      </w:r>
      <w:r w:rsidRPr="00EA5B2B">
        <w:rPr>
          <w:lang w:val="fr-FR"/>
        </w:rPr>
        <w:t xml:space="preserve"> du décret-loi n</w:t>
      </w:r>
      <w:r w:rsidRPr="00EA5B2B">
        <w:rPr>
          <w:vertAlign w:val="superscript"/>
          <w:lang w:val="fr-FR"/>
        </w:rPr>
        <w:t>o</w:t>
      </w:r>
      <w:r w:rsidRPr="00EA5B2B">
        <w:rPr>
          <w:lang w:val="fr-FR"/>
        </w:rPr>
        <w:t xml:space="preserve"> 90 du 24 juin 2014, en ses passages pertinents,</w:t>
      </w:r>
      <w:r w:rsidRPr="00EA5B2B">
        <w:rPr>
          <w:b/>
          <w:lang w:val="fr-FR"/>
        </w:rPr>
        <w:t xml:space="preserve"> </w:t>
      </w:r>
      <w:r w:rsidRPr="00EA5B2B">
        <w:rPr>
          <w:lang w:val="fr-FR"/>
        </w:rPr>
        <w:t>se lit ainsi :</w:t>
      </w:r>
    </w:p>
    <w:p w:rsidR="00E67910" w:rsidRPr="00EA5B2B" w:rsidRDefault="00E67910" w:rsidP="00EA5B2B">
      <w:pPr>
        <w:pStyle w:val="ECHRParaQuote"/>
        <w:rPr>
          <w:rFonts w:eastAsia="Times New Roman"/>
          <w:lang w:val="fr-FR"/>
        </w:rPr>
      </w:pPr>
      <w:r w:rsidRPr="00EA5B2B">
        <w:rPr>
          <w:rFonts w:eastAsia="Times New Roman"/>
          <w:lang w:val="fr-FR"/>
        </w:rPr>
        <w:t>« 1.  Les personnes mentionnées à l</w:t>
      </w:r>
      <w:r w:rsidR="00EA5B2B" w:rsidRPr="00EA5B2B">
        <w:rPr>
          <w:rFonts w:eastAsia="Times New Roman"/>
          <w:lang w:val="fr-FR"/>
        </w:rPr>
        <w:t>’</w:t>
      </w:r>
      <w:r w:rsidRPr="00EA5B2B">
        <w:rPr>
          <w:rFonts w:eastAsia="Times New Roman"/>
          <w:lang w:val="fr-FR"/>
        </w:rPr>
        <w:t>article 2, alinéa 361, de la loi n</w:t>
      </w:r>
      <w:r w:rsidRPr="00EA5B2B">
        <w:rPr>
          <w:rFonts w:eastAsia="Times New Roman"/>
          <w:vertAlign w:val="superscript"/>
          <w:lang w:val="fr-FR"/>
        </w:rPr>
        <w:t>o</w:t>
      </w:r>
      <w:r w:rsidRPr="00EA5B2B">
        <w:rPr>
          <w:rFonts w:eastAsia="Times New Roman"/>
          <w:lang w:val="fr-FR"/>
        </w:rPr>
        <w:t xml:space="preserve"> 244 du 24 décembre 2007 (...) ainsi que leurs héritiers, dans le cas où la personne soit décédée au cours de la procédure, sont destinataires, à titre de satisfaction équitable, d</w:t>
      </w:r>
      <w:r w:rsidR="00EA5B2B" w:rsidRPr="00EA5B2B">
        <w:rPr>
          <w:rFonts w:eastAsia="Times New Roman"/>
          <w:lang w:val="fr-FR"/>
        </w:rPr>
        <w:t>’</w:t>
      </w:r>
      <w:r w:rsidRPr="00EA5B2B">
        <w:rPr>
          <w:rFonts w:eastAsia="Times New Roman"/>
          <w:lang w:val="fr-FR"/>
        </w:rPr>
        <w:t>un montant de 100 000 EUR, concernant les personnes ayant subi un préjudice dérivant de la transfusion de sang infecté et de l</w:t>
      </w:r>
      <w:r w:rsidR="00EA5B2B" w:rsidRPr="00EA5B2B">
        <w:rPr>
          <w:rFonts w:eastAsia="Times New Roman"/>
          <w:lang w:val="fr-FR"/>
        </w:rPr>
        <w:t>’</w:t>
      </w:r>
      <w:r w:rsidRPr="00EA5B2B">
        <w:rPr>
          <w:rFonts w:eastAsia="Times New Roman"/>
          <w:lang w:val="fr-FR"/>
        </w:rPr>
        <w:t>administration de produits infectés dérivés du sang, et 20 000 EUR, quant aux personnes ayant subi un préjudice dérivant des vaccinations obligatoires. (...) La liquidation de ces sommes est effectuée au plus tard le 31 décembre 2017 sur la base du critère de la gravité de l</w:t>
      </w:r>
      <w:r w:rsidR="00EA5B2B" w:rsidRPr="00EA5B2B">
        <w:rPr>
          <w:rFonts w:eastAsia="Times New Roman"/>
          <w:lang w:val="fr-FR"/>
        </w:rPr>
        <w:t>’</w:t>
      </w:r>
      <w:r w:rsidRPr="00EA5B2B">
        <w:rPr>
          <w:rFonts w:eastAsia="Times New Roman"/>
          <w:lang w:val="fr-FR"/>
        </w:rPr>
        <w:t>infirmité des ayants droit et, en cas de parité, suivant la gravité des difficultés financières, vérifiée selon les modalités prévues par le décret du Président du Conseil des Ministres n</w:t>
      </w:r>
      <w:r w:rsidRPr="00EA5B2B">
        <w:rPr>
          <w:rFonts w:eastAsia="Times New Roman"/>
          <w:vertAlign w:val="superscript"/>
          <w:lang w:val="fr-FR"/>
        </w:rPr>
        <w:t>o</w:t>
      </w:r>
      <w:r w:rsidR="00873EC6" w:rsidRPr="00EA5B2B">
        <w:rPr>
          <w:rFonts w:eastAsia="Times New Roman"/>
          <w:lang w:val="fr-FR"/>
        </w:rPr>
        <w:t xml:space="preserve"> 159 du 5 </w:t>
      </w:r>
      <w:r w:rsidRPr="00EA5B2B">
        <w:rPr>
          <w:rFonts w:eastAsia="Times New Roman"/>
          <w:lang w:val="fr-FR"/>
        </w:rPr>
        <w:t>décembre 2013, dans la limite de la disponibilité du budget annuel.</w:t>
      </w:r>
    </w:p>
    <w:p w:rsidR="00E67910" w:rsidRPr="00EA5B2B" w:rsidRDefault="00E67910" w:rsidP="00EA5B2B">
      <w:pPr>
        <w:pStyle w:val="ECHRParaQuote"/>
        <w:rPr>
          <w:rFonts w:eastAsia="Times New Roman"/>
          <w:lang w:val="fr-FR"/>
        </w:rPr>
      </w:pPr>
      <w:r w:rsidRPr="00EA5B2B">
        <w:rPr>
          <w:rFonts w:eastAsia="Times New Roman"/>
          <w:lang w:val="fr-FR"/>
        </w:rPr>
        <w:t>2.  Exception faite pour l</w:t>
      </w:r>
      <w:r w:rsidR="00EA5B2B" w:rsidRPr="00EA5B2B">
        <w:rPr>
          <w:rFonts w:eastAsia="Times New Roman"/>
          <w:lang w:val="fr-FR"/>
        </w:rPr>
        <w:t>’</w:t>
      </w:r>
      <w:r w:rsidRPr="00EA5B2B">
        <w:rPr>
          <w:rFonts w:eastAsia="Times New Roman"/>
          <w:lang w:val="fr-FR"/>
        </w:rPr>
        <w:t>hypothèse prévue à l</w:t>
      </w:r>
      <w:r w:rsidR="00EA5B2B" w:rsidRPr="00EA5B2B">
        <w:rPr>
          <w:rFonts w:eastAsia="Times New Roman"/>
          <w:lang w:val="fr-FR"/>
        </w:rPr>
        <w:t>’</w:t>
      </w:r>
      <w:r w:rsidRPr="00EA5B2B">
        <w:rPr>
          <w:rFonts w:eastAsia="Times New Roman"/>
          <w:lang w:val="fr-FR"/>
        </w:rPr>
        <w:t>alinéa 3, le paiement des sommes prévues à l</w:t>
      </w:r>
      <w:r w:rsidR="00EA5B2B" w:rsidRPr="00EA5B2B">
        <w:rPr>
          <w:rFonts w:eastAsia="Times New Roman"/>
          <w:lang w:val="fr-FR"/>
        </w:rPr>
        <w:t>’</w:t>
      </w:r>
      <w:r w:rsidRPr="00EA5B2B">
        <w:rPr>
          <w:rFonts w:eastAsia="Times New Roman"/>
          <w:lang w:val="fr-FR"/>
        </w:rPr>
        <w:t>alinéa 1 est subordonné à la renonciation formelle aux actions en dédommagement entamées, y compris les procédures de transaction, ainsi qu</w:t>
      </w:r>
      <w:r w:rsidR="00EA5B2B" w:rsidRPr="00EA5B2B">
        <w:rPr>
          <w:rFonts w:eastAsia="Times New Roman"/>
          <w:lang w:val="fr-FR"/>
        </w:rPr>
        <w:t>’</w:t>
      </w:r>
      <w:r w:rsidRPr="00EA5B2B">
        <w:rPr>
          <w:rFonts w:eastAsia="Times New Roman"/>
          <w:lang w:val="fr-FR"/>
        </w:rPr>
        <w:t>à toute prétention ultérieure ayant nature de réparation du préjudice subi à l</w:t>
      </w:r>
      <w:r w:rsidR="00EA5B2B" w:rsidRPr="00EA5B2B">
        <w:rPr>
          <w:rFonts w:eastAsia="Times New Roman"/>
          <w:lang w:val="fr-FR"/>
        </w:rPr>
        <w:t>’</w:t>
      </w:r>
      <w:r w:rsidRPr="00EA5B2B">
        <w:rPr>
          <w:rFonts w:eastAsia="Times New Roman"/>
          <w:lang w:val="fr-FR"/>
        </w:rPr>
        <w:t>encontre de l</w:t>
      </w:r>
      <w:r w:rsidR="00EA5B2B" w:rsidRPr="00EA5B2B">
        <w:rPr>
          <w:rFonts w:eastAsia="Times New Roman"/>
          <w:lang w:val="fr-FR"/>
        </w:rPr>
        <w:t>’</w:t>
      </w:r>
      <w:r w:rsidRPr="00EA5B2B">
        <w:rPr>
          <w:rFonts w:eastAsia="Times New Roman"/>
          <w:lang w:val="fr-FR"/>
        </w:rPr>
        <w:t>État, y compris au niveau international. Le payement est effectué après la soustraction du montant déjà reçu au titre de réparation du préjudice subi à la suite d</w:t>
      </w:r>
      <w:r w:rsidR="00EA5B2B" w:rsidRPr="00EA5B2B">
        <w:rPr>
          <w:rFonts w:eastAsia="Times New Roman"/>
          <w:lang w:val="fr-FR"/>
        </w:rPr>
        <w:t>’</w:t>
      </w:r>
      <w:r w:rsidRPr="00EA5B2B">
        <w:rPr>
          <w:rFonts w:eastAsia="Times New Roman"/>
          <w:lang w:val="fr-FR"/>
        </w:rPr>
        <w:t>une décision exécutoire. »</w:t>
      </w:r>
    </w:p>
    <w:p w:rsidR="00E67910" w:rsidRPr="00EA5B2B" w:rsidRDefault="00E67910" w:rsidP="00EA5B2B">
      <w:pPr>
        <w:pStyle w:val="ECHRTitle1"/>
        <w:rPr>
          <w:lang w:val="fr-FR"/>
        </w:rPr>
      </w:pPr>
      <w:r w:rsidRPr="00EA5B2B">
        <w:rPr>
          <w:lang w:val="fr-FR"/>
        </w:rPr>
        <w:t>EN DROIT</w:t>
      </w:r>
    </w:p>
    <w:p w:rsidR="00E67910" w:rsidRPr="00EA5B2B" w:rsidRDefault="00E67910" w:rsidP="00EA5B2B">
      <w:pPr>
        <w:pStyle w:val="ECHRPara"/>
        <w:rPr>
          <w:lang w:val="fr-FR"/>
        </w:rPr>
      </w:pPr>
      <w:r w:rsidRPr="00EA5B2B">
        <w:rPr>
          <w:lang w:val="fr-FR"/>
        </w:rPr>
        <w:t>7.  Compte tenu de la similitude des requêtes quant aux faits et aux griefs, la Cour estime tout d</w:t>
      </w:r>
      <w:r w:rsidR="00EA5B2B" w:rsidRPr="00EA5B2B">
        <w:rPr>
          <w:lang w:val="fr-FR"/>
        </w:rPr>
        <w:t>’</w:t>
      </w:r>
      <w:r w:rsidRPr="00EA5B2B">
        <w:rPr>
          <w:lang w:val="fr-FR"/>
        </w:rPr>
        <w:t>abord nécessaire de les joindre et décide de les examiner dans une seule décision.</w:t>
      </w:r>
    </w:p>
    <w:p w:rsidR="00E67910" w:rsidRPr="00EA5B2B" w:rsidRDefault="00E67910" w:rsidP="00EA5B2B">
      <w:pPr>
        <w:pStyle w:val="ECHRPara"/>
        <w:rPr>
          <w:lang w:val="fr-FR"/>
        </w:rPr>
      </w:pPr>
      <w:r w:rsidRPr="00EA5B2B">
        <w:rPr>
          <w:lang w:val="fr-FR"/>
        </w:rPr>
        <w:lastRenderedPageBreak/>
        <w:t>8.  La Cour relève que les requérants se sont prévalus du remède prévue par l</w:t>
      </w:r>
      <w:r w:rsidR="00EA5B2B" w:rsidRPr="00EA5B2B">
        <w:rPr>
          <w:lang w:val="fr-FR"/>
        </w:rPr>
        <w:t>’</w:t>
      </w:r>
      <w:r w:rsidRPr="00EA5B2B">
        <w:rPr>
          <w:lang w:val="fr-FR"/>
        </w:rPr>
        <w:t>article 27-</w:t>
      </w:r>
      <w:r w:rsidRPr="00EA5B2B">
        <w:rPr>
          <w:i/>
          <w:lang w:val="fr-FR"/>
        </w:rPr>
        <w:t>bis</w:t>
      </w:r>
      <w:r w:rsidRPr="00EA5B2B">
        <w:rPr>
          <w:lang w:val="fr-FR"/>
        </w:rPr>
        <w:t xml:space="preserve"> du décret-loi n</w:t>
      </w:r>
      <w:r w:rsidRPr="00EA5B2B">
        <w:rPr>
          <w:vertAlign w:val="superscript"/>
          <w:lang w:val="fr-FR"/>
        </w:rPr>
        <w:t>o</w:t>
      </w:r>
      <w:r w:rsidRPr="00EA5B2B">
        <w:rPr>
          <w:lang w:val="fr-FR"/>
        </w:rPr>
        <w:t xml:space="preserve"> 90/2014.</w:t>
      </w:r>
    </w:p>
    <w:p w:rsidR="00E67910" w:rsidRPr="00EA5B2B" w:rsidRDefault="00E67910" w:rsidP="00EA5B2B">
      <w:pPr>
        <w:pStyle w:val="ECHRPara"/>
        <w:rPr>
          <w:lang w:val="fr-FR"/>
        </w:rPr>
      </w:pPr>
      <w:r w:rsidRPr="00EA5B2B">
        <w:rPr>
          <w:lang w:val="fr-FR"/>
        </w:rPr>
        <w:t>9.  La Cour note que, selon le texte de l</w:t>
      </w:r>
      <w:r w:rsidR="00EA5B2B" w:rsidRPr="00EA5B2B">
        <w:rPr>
          <w:lang w:val="fr-FR"/>
        </w:rPr>
        <w:t>’</w:t>
      </w:r>
      <w:r w:rsidRPr="00EA5B2B">
        <w:rPr>
          <w:lang w:val="fr-FR"/>
        </w:rPr>
        <w:t>alinéa 2 de l</w:t>
      </w:r>
      <w:r w:rsidR="00EA5B2B" w:rsidRPr="00EA5B2B">
        <w:rPr>
          <w:lang w:val="fr-FR"/>
        </w:rPr>
        <w:t>’</w:t>
      </w:r>
      <w:r w:rsidRPr="00EA5B2B">
        <w:rPr>
          <w:lang w:val="fr-FR"/>
        </w:rPr>
        <w:t>article 27-</w:t>
      </w:r>
      <w:r w:rsidRPr="00EA5B2B">
        <w:rPr>
          <w:i/>
          <w:lang w:val="fr-FR"/>
        </w:rPr>
        <w:t>bis</w:t>
      </w:r>
      <w:r w:rsidRPr="00EA5B2B">
        <w:rPr>
          <w:lang w:val="fr-FR"/>
        </w:rPr>
        <w:t xml:space="preserve"> du décret-loi n</w:t>
      </w:r>
      <w:r w:rsidRPr="00EA5B2B">
        <w:rPr>
          <w:vertAlign w:val="superscript"/>
          <w:lang w:val="fr-FR"/>
        </w:rPr>
        <w:t>o</w:t>
      </w:r>
      <w:r w:rsidRPr="00EA5B2B">
        <w:rPr>
          <w:lang w:val="fr-FR"/>
        </w:rPr>
        <w:t> 90/2014, en acceptant le paiement de la satisfaction équitable prévu à l</w:t>
      </w:r>
      <w:r w:rsidR="00EA5B2B" w:rsidRPr="00EA5B2B">
        <w:rPr>
          <w:lang w:val="fr-FR"/>
        </w:rPr>
        <w:t>’</w:t>
      </w:r>
      <w:r w:rsidRPr="00EA5B2B">
        <w:rPr>
          <w:lang w:val="fr-FR"/>
        </w:rPr>
        <w:t>alinéa 1, les requérants renoncent « aux actions en dédommagement entamées, y compris les procédures de transaction, ainsi qu</w:t>
      </w:r>
      <w:r w:rsidR="00EA5B2B" w:rsidRPr="00EA5B2B">
        <w:rPr>
          <w:lang w:val="fr-FR"/>
        </w:rPr>
        <w:t>’</w:t>
      </w:r>
      <w:r w:rsidRPr="00EA5B2B">
        <w:rPr>
          <w:lang w:val="fr-FR"/>
        </w:rPr>
        <w:t>à toute prétention ultérieure ayant nature de réparation du préjudice subi à l</w:t>
      </w:r>
      <w:r w:rsidR="00EA5B2B" w:rsidRPr="00EA5B2B">
        <w:rPr>
          <w:lang w:val="fr-FR"/>
        </w:rPr>
        <w:t>’</w:t>
      </w:r>
      <w:r w:rsidRPr="00EA5B2B">
        <w:rPr>
          <w:lang w:val="fr-FR"/>
        </w:rPr>
        <w:t>encontre de l</w:t>
      </w:r>
      <w:r w:rsidR="00EA5B2B" w:rsidRPr="00EA5B2B">
        <w:rPr>
          <w:lang w:val="fr-FR"/>
        </w:rPr>
        <w:t>’</w:t>
      </w:r>
      <w:r w:rsidRPr="00EA5B2B">
        <w:rPr>
          <w:lang w:val="fr-FR"/>
        </w:rPr>
        <w:t>État, y compris au niveau international ». La Cour relève de surcroît que la plupart des requérants concernés ont déjà reçu cette somme.</w:t>
      </w:r>
    </w:p>
    <w:p w:rsidR="00E67910" w:rsidRPr="00EA5B2B" w:rsidRDefault="00E67910" w:rsidP="00EA5B2B">
      <w:pPr>
        <w:pStyle w:val="ECHRPara"/>
        <w:rPr>
          <w:i/>
          <w:lang w:val="fr-FR"/>
        </w:rPr>
      </w:pPr>
      <w:r w:rsidRPr="00EA5B2B">
        <w:rPr>
          <w:lang w:val="fr-FR"/>
        </w:rPr>
        <w:t>10.  Elle en conclut que les requérants n</w:t>
      </w:r>
      <w:r w:rsidR="00EA5B2B" w:rsidRPr="00EA5B2B">
        <w:rPr>
          <w:lang w:val="fr-FR"/>
        </w:rPr>
        <w:t>’</w:t>
      </w:r>
      <w:r w:rsidRPr="00EA5B2B">
        <w:rPr>
          <w:lang w:val="fr-FR"/>
        </w:rPr>
        <w:t>entendent plus maintenir leurs requêtes et décide partant de rayer celles-ci du rôle, au sens de l</w:t>
      </w:r>
      <w:r w:rsidR="00EA5B2B" w:rsidRPr="00EA5B2B">
        <w:rPr>
          <w:lang w:val="fr-FR"/>
        </w:rPr>
        <w:t>’</w:t>
      </w:r>
      <w:r w:rsidR="007672B7" w:rsidRPr="00EA5B2B">
        <w:rPr>
          <w:lang w:val="fr-FR"/>
        </w:rPr>
        <w:t>article 37 § </w:t>
      </w:r>
      <w:r w:rsidRPr="00EA5B2B">
        <w:rPr>
          <w:lang w:val="fr-FR"/>
        </w:rPr>
        <w:t xml:space="preserve">1 a) de la Convention (voir </w:t>
      </w:r>
      <w:r w:rsidRPr="00EA5B2B">
        <w:rPr>
          <w:i/>
          <w:lang w:val="fr-FR"/>
        </w:rPr>
        <w:t>D.A.</w:t>
      </w:r>
      <w:r w:rsidRPr="00EA5B2B">
        <w:rPr>
          <w:lang w:val="fr-FR"/>
        </w:rPr>
        <w:t xml:space="preserve"> </w:t>
      </w:r>
      <w:r w:rsidRPr="00EA5B2B">
        <w:rPr>
          <w:i/>
          <w:lang w:val="fr-FR"/>
        </w:rPr>
        <w:t>et autres c. Italie</w:t>
      </w:r>
      <w:r w:rsidRPr="00EA5B2B">
        <w:rPr>
          <w:lang w:val="fr-FR"/>
        </w:rPr>
        <w:t>, n</w:t>
      </w:r>
      <w:r w:rsidRPr="00EA5B2B">
        <w:rPr>
          <w:vertAlign w:val="superscript"/>
          <w:lang w:val="fr-FR"/>
        </w:rPr>
        <w:t>os</w:t>
      </w:r>
      <w:r w:rsidR="007672B7" w:rsidRPr="00EA5B2B">
        <w:rPr>
          <w:lang w:val="fr-FR"/>
        </w:rPr>
        <w:t> </w:t>
      </w:r>
      <w:r w:rsidRPr="00EA5B2B">
        <w:rPr>
          <w:lang w:val="fr-FR"/>
        </w:rPr>
        <w:t>68060/12 et 18 autres</w:t>
      </w:r>
      <w:r w:rsidRPr="00EA5B2B">
        <w:rPr>
          <w:snapToGrid w:val="0"/>
          <w:lang w:val="fr-FR"/>
        </w:rPr>
        <w:t xml:space="preserve">, §§ 158-161, 14 </w:t>
      </w:r>
      <w:r w:rsidRPr="00EA5B2B">
        <w:rPr>
          <w:lang w:val="fr-FR"/>
        </w:rPr>
        <w:t>janvier</w:t>
      </w:r>
      <w:r w:rsidRPr="00EA5B2B">
        <w:rPr>
          <w:snapToGrid w:val="0"/>
          <w:lang w:val="fr-FR"/>
        </w:rPr>
        <w:t xml:space="preserve"> 2016</w:t>
      </w:r>
      <w:r w:rsidRPr="00EA5B2B">
        <w:rPr>
          <w:lang w:val="fr-FR"/>
        </w:rPr>
        <w:t>).</w:t>
      </w:r>
    </w:p>
    <w:p w:rsidR="00E67910" w:rsidRPr="00EA5B2B" w:rsidRDefault="00E67910" w:rsidP="00EA5B2B">
      <w:pPr>
        <w:pStyle w:val="ECHRPara"/>
        <w:rPr>
          <w:lang w:val="fr-FR"/>
        </w:rPr>
      </w:pPr>
      <w:r w:rsidRPr="00EA5B2B">
        <w:rPr>
          <w:lang w:val="fr-FR"/>
        </w:rPr>
        <w:t>11.  Par ces motifs, la Cour, à l</w:t>
      </w:r>
      <w:r w:rsidR="00EA5B2B" w:rsidRPr="00EA5B2B">
        <w:rPr>
          <w:lang w:val="fr-FR"/>
        </w:rPr>
        <w:t>’</w:t>
      </w:r>
      <w:r w:rsidRPr="00EA5B2B">
        <w:rPr>
          <w:lang w:val="fr-FR"/>
        </w:rPr>
        <w:t>unanimité,</w:t>
      </w:r>
    </w:p>
    <w:p w:rsidR="00E67910" w:rsidRPr="00EA5B2B" w:rsidRDefault="00E67910" w:rsidP="00EA5B2B">
      <w:pPr>
        <w:pStyle w:val="DecList"/>
        <w:rPr>
          <w:lang w:val="fr-FR"/>
        </w:rPr>
      </w:pPr>
      <w:r w:rsidRPr="00EA5B2B">
        <w:rPr>
          <w:i/>
          <w:lang w:val="fr-FR"/>
        </w:rPr>
        <w:t>Décide</w:t>
      </w:r>
      <w:r w:rsidRPr="00EA5B2B">
        <w:rPr>
          <w:lang w:val="fr-FR"/>
        </w:rPr>
        <w:t xml:space="preserve"> de joindre les requêtes ;</w:t>
      </w:r>
    </w:p>
    <w:p w:rsidR="00E67910" w:rsidRPr="00EA5B2B" w:rsidRDefault="00E67910" w:rsidP="00EA5B2B">
      <w:pPr>
        <w:pStyle w:val="DecList"/>
        <w:rPr>
          <w:lang w:val="fr-FR"/>
        </w:rPr>
      </w:pPr>
      <w:r w:rsidRPr="00EA5B2B">
        <w:rPr>
          <w:i/>
          <w:lang w:val="fr-FR"/>
        </w:rPr>
        <w:t>Décide</w:t>
      </w:r>
      <w:r w:rsidRPr="00EA5B2B">
        <w:rPr>
          <w:lang w:val="fr-FR"/>
        </w:rPr>
        <w:t xml:space="preserve"> de rayer les requêtes du rôle.</w:t>
      </w:r>
    </w:p>
    <w:p w:rsidR="006544C4" w:rsidRPr="00EA5B2B" w:rsidRDefault="006544C4" w:rsidP="00EA5B2B">
      <w:pPr>
        <w:pStyle w:val="ECHRPara"/>
        <w:rPr>
          <w:sz w:val="2"/>
          <w:szCs w:val="2"/>
          <w:lang w:val="fr-FR" w:eastAsia="en-GB"/>
        </w:rPr>
      </w:pPr>
    </w:p>
    <w:p w:rsidR="00050A32" w:rsidRPr="00EA5B2B" w:rsidRDefault="00F40988" w:rsidP="00EA5B2B">
      <w:pPr>
        <w:pStyle w:val="JuParaLast"/>
        <w:rPr>
          <w:lang w:val="fr-FR"/>
        </w:rPr>
      </w:pPr>
      <w:r w:rsidRPr="00EA5B2B">
        <w:rPr>
          <w:szCs w:val="24"/>
          <w:lang w:val="fr-FR"/>
        </w:rPr>
        <w:t xml:space="preserve">Fait en français puis communiqué par écrit le </w:t>
      </w:r>
      <w:r w:rsidR="00E67910" w:rsidRPr="00EA5B2B">
        <w:rPr>
          <w:szCs w:val="24"/>
          <w:lang w:val="fr-FR"/>
        </w:rPr>
        <w:t>8 février 2018</w:t>
      </w:r>
      <w:r w:rsidRPr="00EA5B2B">
        <w:rPr>
          <w:lang w:val="fr-FR"/>
        </w:rPr>
        <w:t>.</w:t>
      </w:r>
    </w:p>
    <w:p w:rsidR="0091478F" w:rsidRPr="00EA5B2B" w:rsidRDefault="00873EC6" w:rsidP="00EA5B2B">
      <w:pPr>
        <w:pStyle w:val="JuSigned"/>
        <w:rPr>
          <w:lang w:val="fr-FR"/>
        </w:rPr>
      </w:pPr>
      <w:r w:rsidRPr="00EA5B2B">
        <w:rPr>
          <w:lang w:val="fr-FR"/>
        </w:rPr>
        <w:tab/>
      </w:r>
      <w:r w:rsidR="00E67910" w:rsidRPr="00EA5B2B">
        <w:rPr>
          <w:lang w:val="fr-FR"/>
        </w:rPr>
        <w:t xml:space="preserve">Renata </w:t>
      </w:r>
      <w:proofErr w:type="spellStart"/>
      <w:r w:rsidR="00E67910" w:rsidRPr="00EA5B2B">
        <w:rPr>
          <w:lang w:val="fr-FR"/>
        </w:rPr>
        <w:t>Degener</w:t>
      </w:r>
      <w:proofErr w:type="spellEnd"/>
      <w:r w:rsidR="0091478F" w:rsidRPr="00EA5B2B">
        <w:rPr>
          <w:lang w:val="fr-FR"/>
        </w:rPr>
        <w:tab/>
      </w:r>
      <w:r w:rsidR="00E67910" w:rsidRPr="00EA5B2B">
        <w:rPr>
          <w:lang w:val="fr-FR"/>
        </w:rPr>
        <w:t xml:space="preserve">Kristina </w:t>
      </w:r>
      <w:proofErr w:type="spellStart"/>
      <w:r w:rsidR="00E67910" w:rsidRPr="00EA5B2B">
        <w:rPr>
          <w:lang w:val="fr-FR"/>
        </w:rPr>
        <w:t>Pardalos</w:t>
      </w:r>
      <w:proofErr w:type="spellEnd"/>
      <w:r w:rsidR="00EA5B2B" w:rsidRPr="00EA5B2B">
        <w:rPr>
          <w:lang w:val="fr-FR"/>
        </w:rPr>
        <w:br/>
      </w:r>
      <w:r w:rsidR="00E67910" w:rsidRPr="00EA5B2B">
        <w:rPr>
          <w:lang w:val="fr-FR"/>
        </w:rPr>
        <w:t>Greffière adjointe</w:t>
      </w:r>
      <w:r w:rsidR="0091478F" w:rsidRPr="00EA5B2B">
        <w:rPr>
          <w:lang w:val="fr-FR"/>
        </w:rPr>
        <w:tab/>
      </w:r>
      <w:r w:rsidR="00E67910" w:rsidRPr="00EA5B2B">
        <w:rPr>
          <w:lang w:val="fr-FR"/>
        </w:rPr>
        <w:t>Présidente</w:t>
      </w:r>
    </w:p>
    <w:p w:rsidR="00E67910" w:rsidRPr="00EA5B2B" w:rsidRDefault="00E67910" w:rsidP="00EA5B2B">
      <w:pPr>
        <w:rPr>
          <w:lang w:val="fr-FR"/>
        </w:rPr>
      </w:pPr>
      <w:r w:rsidRPr="00EA5B2B">
        <w:rPr>
          <w:lang w:val="fr-FR"/>
        </w:rPr>
        <w:br w:type="page"/>
      </w:r>
    </w:p>
    <w:p w:rsidR="004D15F3" w:rsidRPr="00EA5B2B" w:rsidRDefault="00E67910" w:rsidP="00EA5B2B">
      <w:pPr>
        <w:pStyle w:val="JuTitle"/>
        <w:rPr>
          <w:lang w:val="fr-FR"/>
        </w:rPr>
      </w:pPr>
      <w:r w:rsidRPr="00EA5B2B">
        <w:rPr>
          <w:lang w:val="fr-FR"/>
        </w:rPr>
        <w:lastRenderedPageBreak/>
        <w:t>ANNEXE</w:t>
      </w:r>
    </w:p>
    <w:p w:rsidR="00E67910" w:rsidRPr="00EA5B2B" w:rsidRDefault="00E67910" w:rsidP="00EA5B2B">
      <w:pPr>
        <w:rPr>
          <w:szCs w:val="24"/>
          <w:lang w:val="fr-FR"/>
        </w:rPr>
      </w:pPr>
    </w:p>
    <w:tbl>
      <w:tblPr>
        <w:tblStyle w:val="ECHRListTable"/>
        <w:tblW w:w="8873" w:type="dxa"/>
        <w:jc w:val="center"/>
        <w:tblLook w:val="05E0" w:firstRow="1" w:lastRow="1" w:firstColumn="1" w:lastColumn="1" w:noHBand="0" w:noVBand="1"/>
      </w:tblPr>
      <w:tblGrid>
        <w:gridCol w:w="396"/>
        <w:gridCol w:w="1638"/>
        <w:gridCol w:w="2268"/>
        <w:gridCol w:w="2268"/>
        <w:gridCol w:w="2303"/>
      </w:tblGrid>
      <w:tr w:rsidR="00E17BEE" w:rsidRPr="00EA5B2B" w:rsidTr="00D97861">
        <w:trPr>
          <w:cnfStyle w:val="100000000000" w:firstRow="1" w:lastRow="0" w:firstColumn="0" w:lastColumn="0" w:oddVBand="0" w:evenVBand="0" w:oddHBand="0" w:evenHBand="0" w:firstRowFirstColumn="0" w:firstRowLastColumn="0" w:lastRowFirstColumn="0" w:lastRowLastColumn="0"/>
          <w:trHeight w:val="302"/>
          <w:jc w:val="center"/>
        </w:trPr>
        <w:tc>
          <w:tcPr>
            <w:tcW w:w="0" w:type="auto"/>
            <w:vAlign w:val="center"/>
          </w:tcPr>
          <w:p w:rsidR="00E17BEE" w:rsidRPr="00EA5B2B" w:rsidRDefault="00E17BEE" w:rsidP="00EA5B2B">
            <w:pPr>
              <w:jc w:val="left"/>
              <w:rPr>
                <w:lang w:val="fr-FR"/>
              </w:rPr>
            </w:pPr>
            <w:bookmarkStart w:id="1" w:name="TableStart"/>
            <w:bookmarkEnd w:id="1"/>
          </w:p>
        </w:tc>
        <w:tc>
          <w:tcPr>
            <w:tcW w:w="1638" w:type="dxa"/>
            <w:vAlign w:val="center"/>
          </w:tcPr>
          <w:p w:rsidR="00E17BEE" w:rsidRPr="00EA5B2B" w:rsidRDefault="0078748F" w:rsidP="00EA5B2B">
            <w:pPr>
              <w:jc w:val="left"/>
              <w:rPr>
                <w:lang w:val="fr-FR"/>
              </w:rPr>
            </w:pPr>
            <w:r w:rsidRPr="00EA5B2B">
              <w:rPr>
                <w:lang w:val="fr-FR"/>
              </w:rPr>
              <w:t>N</w:t>
            </w:r>
            <w:r w:rsidR="00D97861" w:rsidRPr="00EA5B2B">
              <w:rPr>
                <w:vertAlign w:val="superscript"/>
                <w:lang w:val="fr-FR"/>
              </w:rPr>
              <w:t>o</w:t>
            </w:r>
            <w:r w:rsidRPr="00EA5B2B">
              <w:rPr>
                <w:lang w:val="fr-FR"/>
              </w:rPr>
              <w:t xml:space="preserve"> requêtes</w:t>
            </w:r>
          </w:p>
        </w:tc>
        <w:tc>
          <w:tcPr>
            <w:tcW w:w="2268" w:type="dxa"/>
            <w:vAlign w:val="center"/>
          </w:tcPr>
          <w:p w:rsidR="00E17BEE" w:rsidRPr="00EA5B2B" w:rsidRDefault="00D97861" w:rsidP="00EA5B2B">
            <w:pPr>
              <w:jc w:val="left"/>
              <w:rPr>
                <w:lang w:val="fr-FR"/>
              </w:rPr>
            </w:pPr>
            <w:r w:rsidRPr="00EA5B2B">
              <w:rPr>
                <w:lang w:val="fr-FR"/>
              </w:rPr>
              <w:t>Nom de l</w:t>
            </w:r>
            <w:r w:rsidR="00EA5B2B" w:rsidRPr="00EA5B2B">
              <w:rPr>
                <w:lang w:val="fr-FR"/>
              </w:rPr>
              <w:t>’</w:t>
            </w:r>
            <w:r w:rsidRPr="00EA5B2B">
              <w:rPr>
                <w:lang w:val="fr-FR"/>
              </w:rPr>
              <w:t>affaire</w:t>
            </w:r>
          </w:p>
        </w:tc>
        <w:tc>
          <w:tcPr>
            <w:tcW w:w="2268" w:type="dxa"/>
            <w:vAlign w:val="center"/>
          </w:tcPr>
          <w:p w:rsidR="00E17BEE" w:rsidRPr="00EA5B2B" w:rsidRDefault="0078748F" w:rsidP="00EA5B2B">
            <w:pPr>
              <w:jc w:val="left"/>
              <w:rPr>
                <w:lang w:val="fr-FR"/>
              </w:rPr>
            </w:pPr>
            <w:r w:rsidRPr="00EA5B2B">
              <w:rPr>
                <w:lang w:val="fr-FR"/>
              </w:rPr>
              <w:t>Date d</w:t>
            </w:r>
            <w:r w:rsidR="00EA5B2B" w:rsidRPr="00EA5B2B">
              <w:rPr>
                <w:lang w:val="fr-FR"/>
              </w:rPr>
              <w:t>’</w:t>
            </w:r>
            <w:r w:rsidRPr="00EA5B2B">
              <w:rPr>
                <w:lang w:val="fr-FR"/>
              </w:rPr>
              <w:t>introduction</w:t>
            </w:r>
          </w:p>
        </w:tc>
        <w:tc>
          <w:tcPr>
            <w:tcW w:w="2303" w:type="dxa"/>
            <w:vAlign w:val="center"/>
          </w:tcPr>
          <w:p w:rsidR="00E17BEE" w:rsidRPr="00EA5B2B" w:rsidRDefault="0078748F" w:rsidP="00EA5B2B">
            <w:pPr>
              <w:jc w:val="left"/>
              <w:rPr>
                <w:lang w:val="fr-FR"/>
              </w:rPr>
            </w:pPr>
            <w:r w:rsidRPr="00EA5B2B">
              <w:rPr>
                <w:lang w:val="fr-FR"/>
              </w:rPr>
              <w:t>Représentant</w:t>
            </w:r>
          </w:p>
        </w:tc>
      </w:tr>
      <w:tr w:rsidR="00E17BEE" w:rsidRPr="00EA5B2B" w:rsidTr="00D97861">
        <w:trPr>
          <w:trHeight w:val="319"/>
          <w:jc w:val="center"/>
        </w:trPr>
        <w:tc>
          <w:tcPr>
            <w:tcW w:w="0" w:type="auto"/>
          </w:tcPr>
          <w:p w:rsidR="00E17BEE" w:rsidRPr="00EA5B2B" w:rsidRDefault="00E17BEE" w:rsidP="00EA5B2B">
            <w:pPr>
              <w:jc w:val="left"/>
              <w:rPr>
                <w:lang w:val="fr-FR"/>
              </w:rPr>
            </w:pPr>
            <w:r w:rsidRPr="00EA5B2B">
              <w:fldChar w:fldCharType="begin"/>
            </w:r>
            <w:r w:rsidRPr="00EA5B2B">
              <w:rPr>
                <w:lang w:val="fr-FR"/>
              </w:rPr>
              <w:instrText xml:space="preserve"> SEQ level0 \*arabic </w:instrText>
            </w:r>
            <w:r w:rsidRPr="00EA5B2B">
              <w:fldChar w:fldCharType="separate"/>
            </w:r>
            <w:r w:rsidR="00EA5B2B" w:rsidRPr="00EA5B2B">
              <w:rPr>
                <w:noProof/>
                <w:lang w:val="fr-FR"/>
              </w:rPr>
              <w:t>1</w:t>
            </w:r>
            <w:r w:rsidRPr="00EA5B2B">
              <w:fldChar w:fldCharType="end"/>
            </w:r>
            <w:r w:rsidRPr="00EA5B2B">
              <w:rPr>
                <w:lang w:val="fr-FR"/>
              </w:rPr>
              <w:t>.</w:t>
            </w:r>
          </w:p>
        </w:tc>
        <w:tc>
          <w:tcPr>
            <w:tcW w:w="1638" w:type="dxa"/>
          </w:tcPr>
          <w:p w:rsidR="00E17BEE" w:rsidRPr="00EA5B2B" w:rsidRDefault="00E17BEE" w:rsidP="00EA5B2B">
            <w:pPr>
              <w:jc w:val="left"/>
              <w:rPr>
                <w:lang w:val="fr-FR"/>
              </w:rPr>
            </w:pPr>
            <w:r w:rsidRPr="00EA5B2B">
              <w:rPr>
                <w:lang w:val="fr-FR"/>
              </w:rPr>
              <w:t>30290/15</w:t>
            </w:r>
          </w:p>
        </w:tc>
        <w:tc>
          <w:tcPr>
            <w:tcW w:w="2268" w:type="dxa"/>
          </w:tcPr>
          <w:p w:rsidR="00E17BEE" w:rsidRPr="00EA5B2B" w:rsidRDefault="00E17BEE" w:rsidP="00EA5B2B">
            <w:pPr>
              <w:jc w:val="left"/>
              <w:rPr>
                <w:lang w:val="fr-FR"/>
              </w:rPr>
            </w:pPr>
            <w:r w:rsidRPr="00EA5B2B">
              <w:rPr>
                <w:lang w:val="fr-FR"/>
              </w:rPr>
              <w:t xml:space="preserve">L.M. v. </w:t>
            </w:r>
            <w:proofErr w:type="spellStart"/>
            <w:r w:rsidRPr="00EA5B2B">
              <w:rPr>
                <w:lang w:val="fr-FR"/>
              </w:rPr>
              <w:t>Italy</w:t>
            </w:r>
            <w:proofErr w:type="spellEnd"/>
          </w:p>
        </w:tc>
        <w:tc>
          <w:tcPr>
            <w:tcW w:w="2268" w:type="dxa"/>
          </w:tcPr>
          <w:p w:rsidR="00E17BEE" w:rsidRPr="00EA5B2B" w:rsidRDefault="00E17BEE" w:rsidP="00EA5B2B">
            <w:pPr>
              <w:jc w:val="left"/>
            </w:pPr>
            <w:r w:rsidRPr="00EA5B2B">
              <w:rPr>
                <w:lang w:val="fr-FR"/>
              </w:rPr>
              <w:t>14/0</w:t>
            </w:r>
            <w:r w:rsidRPr="00EA5B2B">
              <w:t>7/2014</w:t>
            </w:r>
          </w:p>
        </w:tc>
        <w:tc>
          <w:tcPr>
            <w:tcW w:w="2303" w:type="dxa"/>
          </w:tcPr>
          <w:p w:rsidR="00E17BEE" w:rsidRPr="00EA5B2B" w:rsidRDefault="00E17BEE" w:rsidP="00EA5B2B">
            <w:pPr>
              <w:jc w:val="left"/>
            </w:pPr>
            <w:r w:rsidRPr="00EA5B2B">
              <w:t>A.G. Lana</w:t>
            </w:r>
          </w:p>
        </w:tc>
      </w:tr>
      <w:tr w:rsidR="00E17BEE" w:rsidRPr="00EA5B2B" w:rsidTr="00D97861">
        <w:trPr>
          <w:trHeight w:val="302"/>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2</w:t>
            </w:r>
            <w:r w:rsidRPr="00EA5B2B">
              <w:fldChar w:fldCharType="end"/>
            </w:r>
            <w:r w:rsidRPr="00EA5B2B">
              <w:t>.</w:t>
            </w:r>
          </w:p>
        </w:tc>
        <w:tc>
          <w:tcPr>
            <w:tcW w:w="1638" w:type="dxa"/>
          </w:tcPr>
          <w:p w:rsidR="00E17BEE" w:rsidRPr="00EA5B2B" w:rsidRDefault="00E17BEE" w:rsidP="00EA5B2B">
            <w:pPr>
              <w:jc w:val="left"/>
            </w:pPr>
            <w:r w:rsidRPr="00EA5B2B">
              <w:t>30324/15</w:t>
            </w:r>
          </w:p>
        </w:tc>
        <w:tc>
          <w:tcPr>
            <w:tcW w:w="2268" w:type="dxa"/>
          </w:tcPr>
          <w:p w:rsidR="00E17BEE" w:rsidRPr="00EA5B2B" w:rsidRDefault="00E17BEE" w:rsidP="00EA5B2B">
            <w:pPr>
              <w:jc w:val="left"/>
            </w:pPr>
            <w:r w:rsidRPr="00EA5B2B">
              <w:t>P.C. v. Italy</w:t>
            </w:r>
          </w:p>
        </w:tc>
        <w:tc>
          <w:tcPr>
            <w:tcW w:w="2268" w:type="dxa"/>
          </w:tcPr>
          <w:p w:rsidR="00E17BEE" w:rsidRPr="00EA5B2B" w:rsidRDefault="00E17BEE" w:rsidP="00EA5B2B">
            <w:pPr>
              <w:jc w:val="left"/>
            </w:pPr>
            <w:r w:rsidRPr="00EA5B2B">
              <w:t>17/07/2014</w:t>
            </w:r>
          </w:p>
        </w:tc>
        <w:tc>
          <w:tcPr>
            <w:tcW w:w="2303" w:type="dxa"/>
          </w:tcPr>
          <w:p w:rsidR="00E17BEE" w:rsidRPr="00EA5B2B" w:rsidRDefault="00E17BEE" w:rsidP="00EA5B2B">
            <w:pPr>
              <w:jc w:val="left"/>
            </w:pPr>
            <w:r w:rsidRPr="00EA5B2B">
              <w:t>A.G. Lana</w:t>
            </w:r>
          </w:p>
        </w:tc>
      </w:tr>
      <w:tr w:rsidR="00E17BEE" w:rsidRPr="00EA5B2B" w:rsidTr="00D97861">
        <w:trPr>
          <w:trHeight w:val="302"/>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3</w:t>
            </w:r>
            <w:r w:rsidRPr="00EA5B2B">
              <w:fldChar w:fldCharType="end"/>
            </w:r>
            <w:r w:rsidRPr="00EA5B2B">
              <w:t>.</w:t>
            </w:r>
          </w:p>
        </w:tc>
        <w:tc>
          <w:tcPr>
            <w:tcW w:w="1638" w:type="dxa"/>
          </w:tcPr>
          <w:p w:rsidR="00E17BEE" w:rsidRPr="00EA5B2B" w:rsidRDefault="00E17BEE" w:rsidP="00EA5B2B">
            <w:pPr>
              <w:jc w:val="left"/>
            </w:pPr>
            <w:r w:rsidRPr="00EA5B2B">
              <w:t>30346/15</w:t>
            </w:r>
          </w:p>
        </w:tc>
        <w:tc>
          <w:tcPr>
            <w:tcW w:w="2268" w:type="dxa"/>
          </w:tcPr>
          <w:p w:rsidR="00E17BEE" w:rsidRPr="00EA5B2B" w:rsidRDefault="00E17BEE" w:rsidP="00EA5B2B">
            <w:pPr>
              <w:jc w:val="left"/>
            </w:pPr>
            <w:r w:rsidRPr="00EA5B2B">
              <w:t>A.C. v. Italy</w:t>
            </w:r>
          </w:p>
        </w:tc>
        <w:tc>
          <w:tcPr>
            <w:tcW w:w="2268" w:type="dxa"/>
          </w:tcPr>
          <w:p w:rsidR="00E17BEE" w:rsidRPr="00EA5B2B" w:rsidRDefault="00E17BEE" w:rsidP="00EA5B2B">
            <w:pPr>
              <w:jc w:val="left"/>
            </w:pPr>
            <w:r w:rsidRPr="00EA5B2B">
              <w:t>17/07/2014</w:t>
            </w:r>
          </w:p>
        </w:tc>
        <w:tc>
          <w:tcPr>
            <w:tcW w:w="2303" w:type="dxa"/>
          </w:tcPr>
          <w:p w:rsidR="00E17BEE" w:rsidRPr="00EA5B2B" w:rsidRDefault="00E17BEE" w:rsidP="00EA5B2B">
            <w:pPr>
              <w:jc w:val="left"/>
            </w:pPr>
            <w:r w:rsidRPr="00EA5B2B">
              <w:t>A.G. Lana</w:t>
            </w:r>
          </w:p>
        </w:tc>
      </w:tr>
      <w:tr w:rsidR="00E17BEE" w:rsidRPr="00EA5B2B" w:rsidTr="00D97861">
        <w:trPr>
          <w:trHeight w:val="319"/>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4</w:t>
            </w:r>
            <w:r w:rsidRPr="00EA5B2B">
              <w:fldChar w:fldCharType="end"/>
            </w:r>
            <w:r w:rsidRPr="00EA5B2B">
              <w:t>.</w:t>
            </w:r>
          </w:p>
        </w:tc>
        <w:tc>
          <w:tcPr>
            <w:tcW w:w="1638" w:type="dxa"/>
          </w:tcPr>
          <w:p w:rsidR="00E17BEE" w:rsidRPr="00EA5B2B" w:rsidRDefault="00E17BEE" w:rsidP="00EA5B2B">
            <w:pPr>
              <w:jc w:val="left"/>
            </w:pPr>
            <w:r w:rsidRPr="00EA5B2B">
              <w:t>30355/15</w:t>
            </w:r>
          </w:p>
        </w:tc>
        <w:tc>
          <w:tcPr>
            <w:tcW w:w="2268" w:type="dxa"/>
          </w:tcPr>
          <w:p w:rsidR="00E17BEE" w:rsidRPr="00EA5B2B" w:rsidRDefault="00E17BEE" w:rsidP="00EA5B2B">
            <w:pPr>
              <w:jc w:val="left"/>
            </w:pPr>
            <w:r w:rsidRPr="00EA5B2B">
              <w:t>O.R. v. Italy</w:t>
            </w:r>
          </w:p>
        </w:tc>
        <w:tc>
          <w:tcPr>
            <w:tcW w:w="2268" w:type="dxa"/>
          </w:tcPr>
          <w:p w:rsidR="00E17BEE" w:rsidRPr="00EA5B2B" w:rsidRDefault="00E17BEE" w:rsidP="00EA5B2B">
            <w:pPr>
              <w:jc w:val="left"/>
            </w:pPr>
            <w:r w:rsidRPr="00EA5B2B">
              <w:t>18/07/2014</w:t>
            </w:r>
          </w:p>
        </w:tc>
        <w:tc>
          <w:tcPr>
            <w:tcW w:w="2303" w:type="dxa"/>
          </w:tcPr>
          <w:p w:rsidR="00E17BEE" w:rsidRPr="00EA5B2B" w:rsidRDefault="00E17BEE" w:rsidP="00EA5B2B">
            <w:pPr>
              <w:jc w:val="left"/>
            </w:pPr>
            <w:r w:rsidRPr="00EA5B2B">
              <w:t>A.G. Lana</w:t>
            </w:r>
          </w:p>
        </w:tc>
      </w:tr>
      <w:tr w:rsidR="00E17BEE" w:rsidRPr="00EA5B2B" w:rsidTr="00D97861">
        <w:trPr>
          <w:trHeight w:val="302"/>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5</w:t>
            </w:r>
            <w:r w:rsidRPr="00EA5B2B">
              <w:fldChar w:fldCharType="end"/>
            </w:r>
            <w:r w:rsidRPr="00EA5B2B">
              <w:t>.</w:t>
            </w:r>
          </w:p>
        </w:tc>
        <w:tc>
          <w:tcPr>
            <w:tcW w:w="1638" w:type="dxa"/>
          </w:tcPr>
          <w:p w:rsidR="00E17BEE" w:rsidRPr="00EA5B2B" w:rsidRDefault="00E17BEE" w:rsidP="00EA5B2B">
            <w:pPr>
              <w:jc w:val="left"/>
            </w:pPr>
            <w:r w:rsidRPr="00EA5B2B">
              <w:t>30448/15</w:t>
            </w:r>
          </w:p>
        </w:tc>
        <w:tc>
          <w:tcPr>
            <w:tcW w:w="2268" w:type="dxa"/>
          </w:tcPr>
          <w:p w:rsidR="00E17BEE" w:rsidRPr="00EA5B2B" w:rsidRDefault="00E17BEE" w:rsidP="00EA5B2B">
            <w:pPr>
              <w:jc w:val="left"/>
            </w:pPr>
            <w:r w:rsidRPr="00EA5B2B">
              <w:t>M.M. v. Italy</w:t>
            </w:r>
          </w:p>
        </w:tc>
        <w:tc>
          <w:tcPr>
            <w:tcW w:w="2268" w:type="dxa"/>
          </w:tcPr>
          <w:p w:rsidR="00E17BEE" w:rsidRPr="00EA5B2B" w:rsidRDefault="00E17BEE" w:rsidP="00EA5B2B">
            <w:pPr>
              <w:jc w:val="left"/>
            </w:pPr>
            <w:r w:rsidRPr="00EA5B2B">
              <w:t>03/10/2014</w:t>
            </w:r>
          </w:p>
        </w:tc>
        <w:tc>
          <w:tcPr>
            <w:tcW w:w="2303" w:type="dxa"/>
          </w:tcPr>
          <w:p w:rsidR="00E17BEE" w:rsidRPr="00EA5B2B" w:rsidRDefault="00E17BEE" w:rsidP="00EA5B2B">
            <w:pPr>
              <w:jc w:val="left"/>
            </w:pPr>
            <w:r w:rsidRPr="00EA5B2B">
              <w:t>A.G. Lana</w:t>
            </w:r>
          </w:p>
        </w:tc>
      </w:tr>
      <w:tr w:rsidR="00E17BEE" w:rsidRPr="00EA5B2B" w:rsidTr="00D97861">
        <w:trPr>
          <w:trHeight w:val="302"/>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6</w:t>
            </w:r>
            <w:r w:rsidRPr="00EA5B2B">
              <w:fldChar w:fldCharType="end"/>
            </w:r>
            <w:r w:rsidRPr="00EA5B2B">
              <w:t>.</w:t>
            </w:r>
          </w:p>
        </w:tc>
        <w:tc>
          <w:tcPr>
            <w:tcW w:w="1638" w:type="dxa"/>
          </w:tcPr>
          <w:p w:rsidR="00E17BEE" w:rsidRPr="00EA5B2B" w:rsidRDefault="00E17BEE" w:rsidP="00EA5B2B">
            <w:pPr>
              <w:jc w:val="left"/>
            </w:pPr>
            <w:r w:rsidRPr="00EA5B2B">
              <w:t>14824/16</w:t>
            </w:r>
          </w:p>
        </w:tc>
        <w:tc>
          <w:tcPr>
            <w:tcW w:w="2268" w:type="dxa"/>
          </w:tcPr>
          <w:p w:rsidR="00E17BEE" w:rsidRPr="00EA5B2B" w:rsidRDefault="00E17BEE" w:rsidP="00EA5B2B">
            <w:pPr>
              <w:jc w:val="left"/>
            </w:pPr>
            <w:r w:rsidRPr="00EA5B2B">
              <w:t>G.G. v. Italy</w:t>
            </w:r>
          </w:p>
        </w:tc>
        <w:tc>
          <w:tcPr>
            <w:tcW w:w="2268" w:type="dxa"/>
          </w:tcPr>
          <w:p w:rsidR="00E17BEE" w:rsidRPr="00EA5B2B" w:rsidRDefault="00E17BEE" w:rsidP="00EA5B2B">
            <w:pPr>
              <w:jc w:val="left"/>
            </w:pPr>
            <w:r w:rsidRPr="00EA5B2B">
              <w:t>31/12/2015</w:t>
            </w:r>
          </w:p>
        </w:tc>
        <w:tc>
          <w:tcPr>
            <w:tcW w:w="2303" w:type="dxa"/>
          </w:tcPr>
          <w:p w:rsidR="00E17BEE" w:rsidRPr="00EA5B2B" w:rsidRDefault="00E17BEE" w:rsidP="00EA5B2B">
            <w:pPr>
              <w:jc w:val="left"/>
            </w:pPr>
            <w:r w:rsidRPr="00EA5B2B">
              <w:t>A.G. Lana</w:t>
            </w:r>
          </w:p>
        </w:tc>
      </w:tr>
      <w:tr w:rsidR="00E17BEE" w:rsidRPr="00EA5B2B" w:rsidTr="00D97861">
        <w:trPr>
          <w:trHeight w:val="255"/>
          <w:jc w:val="center"/>
        </w:trPr>
        <w:tc>
          <w:tcPr>
            <w:tcW w:w="0" w:type="auto"/>
          </w:tcPr>
          <w:p w:rsidR="00E17BEE" w:rsidRPr="00EA5B2B" w:rsidRDefault="00E17BEE" w:rsidP="00EA5B2B">
            <w:pPr>
              <w:jc w:val="left"/>
            </w:pPr>
            <w:r w:rsidRPr="00EA5B2B">
              <w:fldChar w:fldCharType="begin"/>
            </w:r>
            <w:r w:rsidRPr="00EA5B2B">
              <w:instrText xml:space="preserve"> SEQ level0 \*arabic </w:instrText>
            </w:r>
            <w:r w:rsidRPr="00EA5B2B">
              <w:fldChar w:fldCharType="separate"/>
            </w:r>
            <w:r w:rsidR="00EA5B2B" w:rsidRPr="00EA5B2B">
              <w:rPr>
                <w:noProof/>
              </w:rPr>
              <w:t>7</w:t>
            </w:r>
            <w:r w:rsidRPr="00EA5B2B">
              <w:fldChar w:fldCharType="end"/>
            </w:r>
            <w:r w:rsidRPr="00EA5B2B">
              <w:t>.</w:t>
            </w:r>
          </w:p>
        </w:tc>
        <w:tc>
          <w:tcPr>
            <w:tcW w:w="1638" w:type="dxa"/>
          </w:tcPr>
          <w:p w:rsidR="00E17BEE" w:rsidRPr="00EA5B2B" w:rsidRDefault="00E17BEE" w:rsidP="00EA5B2B">
            <w:pPr>
              <w:jc w:val="left"/>
            </w:pPr>
            <w:r w:rsidRPr="00EA5B2B">
              <w:t>50830/16</w:t>
            </w:r>
          </w:p>
        </w:tc>
        <w:tc>
          <w:tcPr>
            <w:tcW w:w="2268" w:type="dxa"/>
          </w:tcPr>
          <w:p w:rsidR="00E17BEE" w:rsidRPr="00EA5B2B" w:rsidRDefault="00E17BEE" w:rsidP="00EA5B2B">
            <w:pPr>
              <w:jc w:val="left"/>
            </w:pPr>
            <w:proofErr w:type="spellStart"/>
            <w:r w:rsidRPr="00EA5B2B">
              <w:t>Oliveri</w:t>
            </w:r>
            <w:proofErr w:type="spellEnd"/>
            <w:r w:rsidRPr="00EA5B2B">
              <w:t xml:space="preserve"> v. Italy</w:t>
            </w:r>
          </w:p>
        </w:tc>
        <w:tc>
          <w:tcPr>
            <w:tcW w:w="2268" w:type="dxa"/>
          </w:tcPr>
          <w:p w:rsidR="00E17BEE" w:rsidRPr="00EA5B2B" w:rsidRDefault="00E17BEE" w:rsidP="00EA5B2B">
            <w:pPr>
              <w:jc w:val="left"/>
            </w:pPr>
            <w:r w:rsidRPr="00EA5B2B">
              <w:t>23/08/2016</w:t>
            </w:r>
          </w:p>
        </w:tc>
        <w:tc>
          <w:tcPr>
            <w:tcW w:w="2303" w:type="dxa"/>
          </w:tcPr>
          <w:p w:rsidR="00E17BEE" w:rsidRPr="00EA5B2B" w:rsidRDefault="00E17BEE" w:rsidP="00EA5B2B">
            <w:pPr>
              <w:jc w:val="left"/>
            </w:pPr>
            <w:r w:rsidRPr="00EA5B2B">
              <w:t xml:space="preserve">C. </w:t>
            </w:r>
            <w:proofErr w:type="spellStart"/>
            <w:r w:rsidRPr="00EA5B2B">
              <w:t>Tigani</w:t>
            </w:r>
            <w:proofErr w:type="spellEnd"/>
          </w:p>
        </w:tc>
      </w:tr>
    </w:tbl>
    <w:p w:rsidR="00234E8A" w:rsidRPr="00EA5B2B" w:rsidRDefault="00234E8A" w:rsidP="00EA5B2B">
      <w:pPr>
        <w:rPr>
          <w:lang w:val="fr-FR"/>
        </w:rPr>
      </w:pPr>
    </w:p>
    <w:sectPr w:rsidR="00234E8A" w:rsidRPr="00EA5B2B"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7C" w:rsidRPr="007A6280" w:rsidRDefault="008B3B7C" w:rsidP="006544C4">
      <w:pPr>
        <w:rPr>
          <w:lang w:val="fr-FR"/>
        </w:rPr>
      </w:pPr>
      <w:r w:rsidRPr="007A6280">
        <w:rPr>
          <w:lang w:val="fr-FR"/>
        </w:rPr>
        <w:separator/>
      </w:r>
    </w:p>
  </w:endnote>
  <w:endnote w:type="continuationSeparator" w:id="0">
    <w:p w:rsidR="008B3B7C" w:rsidRPr="007A6280" w:rsidRDefault="008B3B7C"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0" w:rsidRPr="00150BFA" w:rsidRDefault="00E67910" w:rsidP="0020718E">
    <w:pPr>
      <w:jc w:val="center"/>
    </w:pPr>
    <w:r>
      <w:rPr>
        <w:noProof/>
        <w:lang w:val="it-IT" w:eastAsia="it-IT"/>
      </w:rPr>
      <w:drawing>
        <wp:inline distT="0" distB="0" distL="0" distR="0" wp14:anchorId="14A7B6F1" wp14:editId="0122036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8B3B7C"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7C" w:rsidRPr="007A6280" w:rsidRDefault="008B3B7C" w:rsidP="006544C4">
      <w:pPr>
        <w:rPr>
          <w:lang w:val="fr-FR"/>
        </w:rPr>
      </w:pPr>
      <w:r w:rsidRPr="007A6280">
        <w:rPr>
          <w:lang w:val="fr-FR"/>
        </w:rPr>
        <w:separator/>
      </w:r>
    </w:p>
  </w:footnote>
  <w:footnote w:type="continuationSeparator" w:id="0">
    <w:p w:rsidR="008B3B7C" w:rsidRPr="007A6280" w:rsidRDefault="008B3B7C"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E67910" w:rsidRDefault="00E67910" w:rsidP="003312A3">
    <w:pPr>
      <w:pStyle w:val="ECHRHeader"/>
      <w:rPr>
        <w:lang w:val="fr-FR"/>
      </w:rPr>
    </w:pPr>
    <w:r>
      <w:rPr>
        <w:rStyle w:val="Numeropagina"/>
      </w:rPr>
      <w:fldChar w:fldCharType="begin"/>
    </w:r>
    <w:r w:rsidRPr="00E67910">
      <w:rPr>
        <w:rStyle w:val="Numeropagina"/>
        <w:lang w:val="fr-FR"/>
      </w:rPr>
      <w:instrText xml:space="preserve"> PAGE </w:instrText>
    </w:r>
    <w:r>
      <w:rPr>
        <w:rStyle w:val="Numeropagina"/>
      </w:rPr>
      <w:fldChar w:fldCharType="separate"/>
    </w:r>
    <w:r w:rsidR="00095581">
      <w:rPr>
        <w:rStyle w:val="Numeropagina"/>
        <w:noProof/>
        <w:lang w:val="fr-FR"/>
      </w:rPr>
      <w:t>4</w:t>
    </w:r>
    <w:r>
      <w:rPr>
        <w:rStyle w:val="Numeropagina"/>
      </w:rPr>
      <w:fldChar w:fldCharType="end"/>
    </w:r>
    <w:r w:rsidR="00334EC5" w:rsidRPr="00E67910">
      <w:rPr>
        <w:lang w:val="fr-FR"/>
      </w:rPr>
      <w:tab/>
      <w:t xml:space="preserve">DÉCISION </w:t>
    </w:r>
    <w:r w:rsidRPr="00E67910">
      <w:rPr>
        <w:lang w:val="fr-FR"/>
      </w:rPr>
      <w:t>L.M. c. ITALIE</w:t>
    </w:r>
    <w:r w:rsidRPr="00E67910">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E67910" w:rsidRDefault="00334EC5" w:rsidP="006544C4">
    <w:pPr>
      <w:pStyle w:val="ECHRHeader"/>
      <w:rPr>
        <w:lang w:val="fr-FR"/>
      </w:rPr>
    </w:pPr>
    <w:r w:rsidRPr="007A6280">
      <w:rPr>
        <w:lang w:val="fr-FR"/>
      </w:rPr>
      <w:tab/>
    </w:r>
    <w:r w:rsidRPr="00E67910">
      <w:rPr>
        <w:lang w:val="fr-FR"/>
      </w:rPr>
      <w:t xml:space="preserve">DÉCISION </w:t>
    </w:r>
    <w:r w:rsidR="00E67910" w:rsidRPr="00E67910">
      <w:rPr>
        <w:lang w:val="fr-FR"/>
      </w:rPr>
      <w:t>L.M. c. ITALIE</w:t>
    </w:r>
    <w:r w:rsidR="00E67910" w:rsidRPr="00E67910">
      <w:rPr>
        <w:noProof/>
        <w:lang w:val="fr-FR"/>
      </w:rPr>
      <w:t xml:space="preserve"> ET AUTRES REQUÊTES</w:t>
    </w:r>
    <w:r w:rsidRPr="00E67910">
      <w:rPr>
        <w:lang w:val="fr-FR"/>
      </w:rPr>
      <w:tab/>
    </w:r>
    <w:r w:rsidR="00E67910">
      <w:rPr>
        <w:rStyle w:val="Numeropagina"/>
      </w:rPr>
      <w:fldChar w:fldCharType="begin"/>
    </w:r>
    <w:r w:rsidR="00E67910" w:rsidRPr="00E67910">
      <w:rPr>
        <w:rStyle w:val="Numeropagina"/>
        <w:lang w:val="fr-FR"/>
      </w:rPr>
      <w:instrText xml:space="preserve"> PAGE </w:instrText>
    </w:r>
    <w:r w:rsidR="00E67910">
      <w:rPr>
        <w:rStyle w:val="Numeropagina"/>
      </w:rPr>
      <w:fldChar w:fldCharType="separate"/>
    </w:r>
    <w:r w:rsidR="00095581">
      <w:rPr>
        <w:rStyle w:val="Numeropagina"/>
        <w:noProof/>
        <w:lang w:val="fr-FR"/>
      </w:rPr>
      <w:t>3</w:t>
    </w:r>
    <w:r w:rsidR="00E67910">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0" w:rsidRPr="00A45145" w:rsidRDefault="00E67910" w:rsidP="00A45145">
    <w:pPr>
      <w:jc w:val="center"/>
    </w:pPr>
    <w:r>
      <w:rPr>
        <w:noProof/>
        <w:lang w:val="it-IT" w:eastAsia="it-IT"/>
      </w:rPr>
      <w:drawing>
        <wp:inline distT="0" distB="0" distL="0" distR="0" wp14:anchorId="7407172B" wp14:editId="4F10B6A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8B3B7C"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4361A3"/>
    <w:multiLevelType w:val="hybridMultilevel"/>
    <w:tmpl w:val="0B76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3"/>
  </w:num>
  <w:num w:numId="27">
    <w:abstractNumId w:val="16"/>
  </w:num>
  <w:num w:numId="28">
    <w:abstractNumId w:val="16"/>
  </w:num>
  <w:num w:numId="29">
    <w:abstractNumId w:val="16"/>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EMMDOC" w:val="0"/>
  </w:docVars>
  <w:rsids>
    <w:rsidRoot w:val="00E6791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95581"/>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672B7"/>
    <w:rsid w:val="00775B6D"/>
    <w:rsid w:val="00776D68"/>
    <w:rsid w:val="007850EE"/>
    <w:rsid w:val="00785B95"/>
    <w:rsid w:val="0078748F"/>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EC6"/>
    <w:rsid w:val="008754AB"/>
    <w:rsid w:val="0088060C"/>
    <w:rsid w:val="00893576"/>
    <w:rsid w:val="00893E73"/>
    <w:rsid w:val="008B02DC"/>
    <w:rsid w:val="008B0BD9"/>
    <w:rsid w:val="008B3B7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3022"/>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10D81"/>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97861"/>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17BEE"/>
    <w:rsid w:val="00E20E13"/>
    <w:rsid w:val="00E21DB2"/>
    <w:rsid w:val="00E21DBC"/>
    <w:rsid w:val="00E275D7"/>
    <w:rsid w:val="00E27DBE"/>
    <w:rsid w:val="00E32AB1"/>
    <w:rsid w:val="00E36C71"/>
    <w:rsid w:val="00E40404"/>
    <w:rsid w:val="00E459C6"/>
    <w:rsid w:val="00E47589"/>
    <w:rsid w:val="00E64915"/>
    <w:rsid w:val="00E661D4"/>
    <w:rsid w:val="00E67910"/>
    <w:rsid w:val="00E70091"/>
    <w:rsid w:val="00E720F5"/>
    <w:rsid w:val="00E76D47"/>
    <w:rsid w:val="00E849F7"/>
    <w:rsid w:val="00E8668A"/>
    <w:rsid w:val="00E90302"/>
    <w:rsid w:val="00E97396"/>
    <w:rsid w:val="00EA185E"/>
    <w:rsid w:val="00EA592A"/>
    <w:rsid w:val="00EA5B2B"/>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97861"/>
    <w:pPr>
      <w:jc w:val="both"/>
    </w:pPr>
    <w:rPr>
      <w:rFonts w:eastAsiaTheme="minorEastAsia"/>
      <w:sz w:val="24"/>
      <w:lang w:val="en-GB"/>
    </w:rPr>
  </w:style>
  <w:style w:type="paragraph" w:styleId="Titolo1">
    <w:name w:val="heading 1"/>
    <w:basedOn w:val="Normale"/>
    <w:next w:val="Normale"/>
    <w:link w:val="Titolo1Carattere"/>
    <w:uiPriority w:val="99"/>
    <w:semiHidden/>
    <w:rsid w:val="00D9786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9786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9786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9786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9786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9786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9786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9786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9786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978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861"/>
    <w:rPr>
      <w:rFonts w:ascii="Tahoma" w:eastAsiaTheme="minorEastAsia" w:hAnsi="Tahoma" w:cs="Tahoma"/>
      <w:sz w:val="16"/>
      <w:szCs w:val="16"/>
      <w:lang w:val="en-GB"/>
    </w:rPr>
  </w:style>
  <w:style w:type="character" w:styleId="Titolodellibro">
    <w:name w:val="Book Title"/>
    <w:uiPriority w:val="99"/>
    <w:semiHidden/>
    <w:qFormat/>
    <w:rsid w:val="00D97861"/>
    <w:rPr>
      <w:i/>
      <w:iCs/>
      <w:smallCaps/>
      <w:spacing w:val="5"/>
    </w:rPr>
  </w:style>
  <w:style w:type="paragraph" w:customStyle="1" w:styleId="ECHRHeader">
    <w:name w:val="ECHR_Header"/>
    <w:aliases w:val="Ju_Header"/>
    <w:basedOn w:val="Intestazione"/>
    <w:uiPriority w:val="4"/>
    <w:qFormat/>
    <w:rsid w:val="00D97861"/>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D97861"/>
    <w:rPr>
      <w:color w:val="00B050"/>
    </w:rPr>
  </w:style>
  <w:style w:type="character" w:styleId="Enfasigrassetto">
    <w:name w:val="Strong"/>
    <w:uiPriority w:val="99"/>
    <w:semiHidden/>
    <w:qFormat/>
    <w:rsid w:val="00D97861"/>
    <w:rPr>
      <w:b/>
      <w:bCs/>
    </w:rPr>
  </w:style>
  <w:style w:type="paragraph" w:styleId="Nessunaspaziatura">
    <w:name w:val="No Spacing"/>
    <w:basedOn w:val="Normale"/>
    <w:link w:val="NessunaspaziaturaCarattere"/>
    <w:semiHidden/>
    <w:qFormat/>
    <w:rsid w:val="00D97861"/>
    <w:rPr>
      <w:sz w:val="22"/>
      <w:lang w:val="en-US"/>
    </w:rPr>
  </w:style>
  <w:style w:type="character" w:customStyle="1" w:styleId="NessunaspaziaturaCarattere">
    <w:name w:val="Nessuna spaziatura Carattere"/>
    <w:basedOn w:val="Carpredefinitoparagrafo"/>
    <w:link w:val="Nessunaspaziatura"/>
    <w:semiHidden/>
    <w:rsid w:val="00D97861"/>
    <w:rPr>
      <w:rFonts w:eastAsiaTheme="minorEastAsia"/>
    </w:rPr>
  </w:style>
  <w:style w:type="paragraph" w:customStyle="1" w:styleId="JuAppQuestion">
    <w:name w:val="Ju_App_Question"/>
    <w:basedOn w:val="Normale"/>
    <w:uiPriority w:val="5"/>
    <w:qFormat/>
    <w:rsid w:val="00D97861"/>
    <w:pPr>
      <w:numPr>
        <w:numId w:val="30"/>
      </w:numPr>
      <w:jc w:val="left"/>
    </w:pPr>
    <w:rPr>
      <w:b/>
    </w:rPr>
  </w:style>
  <w:style w:type="paragraph" w:customStyle="1" w:styleId="ECHRParaQuote">
    <w:name w:val="ECHR_Para_Quote"/>
    <w:aliases w:val="Ju_Quot"/>
    <w:basedOn w:val="Normale"/>
    <w:uiPriority w:val="14"/>
    <w:qFormat/>
    <w:rsid w:val="00D97861"/>
    <w:pPr>
      <w:spacing w:before="120" w:after="120"/>
      <w:ind w:left="425" w:firstLine="142"/>
    </w:pPr>
    <w:rPr>
      <w:sz w:val="20"/>
    </w:rPr>
  </w:style>
  <w:style w:type="paragraph" w:customStyle="1" w:styleId="JuCase">
    <w:name w:val="Ju_Case"/>
    <w:basedOn w:val="Normale"/>
    <w:next w:val="ECHRPara"/>
    <w:uiPriority w:val="10"/>
    <w:semiHidden/>
    <w:rsid w:val="00D97861"/>
    <w:pPr>
      <w:ind w:firstLine="284"/>
    </w:pPr>
    <w:rPr>
      <w:b/>
    </w:rPr>
  </w:style>
  <w:style w:type="paragraph" w:customStyle="1" w:styleId="JuCourt">
    <w:name w:val="Ju_Court"/>
    <w:basedOn w:val="Normale"/>
    <w:next w:val="Normale"/>
    <w:uiPriority w:val="16"/>
    <w:qFormat/>
    <w:rsid w:val="00D9786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D97861"/>
    <w:pPr>
      <w:tabs>
        <w:tab w:val="clear" w:pos="3686"/>
        <w:tab w:val="clear" w:pos="7371"/>
        <w:tab w:val="center" w:pos="6146"/>
        <w:tab w:val="right" w:pos="12293"/>
      </w:tabs>
    </w:pPr>
  </w:style>
  <w:style w:type="paragraph" w:customStyle="1" w:styleId="JuInitialled">
    <w:name w:val="Ju_Initialled"/>
    <w:basedOn w:val="Normale"/>
    <w:uiPriority w:val="31"/>
    <w:qFormat/>
    <w:rsid w:val="00D97861"/>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D9786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97861"/>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D97861"/>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D97861"/>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D97861"/>
    <w:pPr>
      <w:ind w:left="340" w:hanging="340"/>
    </w:pPr>
  </w:style>
  <w:style w:type="paragraph" w:styleId="Titolo">
    <w:name w:val="Title"/>
    <w:basedOn w:val="Normale"/>
    <w:next w:val="Normale"/>
    <w:link w:val="TitoloCarattere"/>
    <w:uiPriority w:val="99"/>
    <w:semiHidden/>
    <w:qFormat/>
    <w:rsid w:val="00D9786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97861"/>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D97861"/>
    <w:pPr>
      <w:ind w:left="346" w:firstLine="0"/>
    </w:pPr>
  </w:style>
  <w:style w:type="paragraph" w:customStyle="1" w:styleId="JuListi">
    <w:name w:val="Ju_List_i"/>
    <w:basedOn w:val="Normale"/>
    <w:next w:val="JuLista"/>
    <w:uiPriority w:val="28"/>
    <w:qFormat/>
    <w:rsid w:val="00D97861"/>
    <w:pPr>
      <w:ind w:left="794"/>
    </w:pPr>
  </w:style>
  <w:style w:type="character" w:customStyle="1" w:styleId="JUNAMES">
    <w:name w:val="JU_NAMES"/>
    <w:uiPriority w:val="17"/>
    <w:qFormat/>
    <w:rsid w:val="00D97861"/>
    <w:rPr>
      <w:caps w:val="0"/>
      <w:smallCaps/>
    </w:rPr>
  </w:style>
  <w:style w:type="paragraph" w:customStyle="1" w:styleId="JuParaSub">
    <w:name w:val="Ju_Para_Sub"/>
    <w:basedOn w:val="ECHRPara"/>
    <w:uiPriority w:val="13"/>
    <w:qFormat/>
    <w:rsid w:val="00D97861"/>
    <w:pPr>
      <w:ind w:left="284"/>
    </w:pPr>
  </w:style>
  <w:style w:type="paragraph" w:customStyle="1" w:styleId="JuQuotSub">
    <w:name w:val="Ju_Quot_Sub"/>
    <w:basedOn w:val="ECHRParaQuote"/>
    <w:uiPriority w:val="15"/>
    <w:qFormat/>
    <w:rsid w:val="00D97861"/>
    <w:pPr>
      <w:ind w:left="567"/>
    </w:pPr>
  </w:style>
  <w:style w:type="paragraph" w:customStyle="1" w:styleId="ECHRHeading1">
    <w:name w:val="ECHR_Heading_1"/>
    <w:aliases w:val="Ju_H_I_Roman"/>
    <w:basedOn w:val="Titolo1"/>
    <w:next w:val="ECHRPara"/>
    <w:uiPriority w:val="19"/>
    <w:qFormat/>
    <w:rsid w:val="00D9786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D9786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D9786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D9786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97861"/>
    <w:rPr>
      <w:sz w:val="24"/>
      <w:lang w:val="en-GB"/>
    </w:rPr>
  </w:style>
  <w:style w:type="character" w:customStyle="1" w:styleId="Titolo1Carattere">
    <w:name w:val="Titolo 1 Carattere"/>
    <w:basedOn w:val="Carpredefinitoparagrafo"/>
    <w:link w:val="Titolo1"/>
    <w:uiPriority w:val="99"/>
    <w:semiHidden/>
    <w:rsid w:val="00D9786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D9786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97861"/>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D9786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D9786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97861"/>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D97861"/>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D97861"/>
    <w:pPr>
      <w:keepNext/>
      <w:keepLines/>
      <w:spacing w:before="240"/>
      <w:ind w:firstLine="284"/>
    </w:pPr>
  </w:style>
  <w:style w:type="paragraph" w:customStyle="1" w:styleId="DecList">
    <w:name w:val="Dec_List"/>
    <w:basedOn w:val="Normale"/>
    <w:uiPriority w:val="9"/>
    <w:qFormat/>
    <w:rsid w:val="00D97861"/>
    <w:pPr>
      <w:spacing w:before="240"/>
      <w:ind w:left="284"/>
    </w:pPr>
  </w:style>
  <w:style w:type="character" w:customStyle="1" w:styleId="Titolo4Carattere">
    <w:name w:val="Titolo 4 Carattere"/>
    <w:basedOn w:val="Carpredefinitoparagrafo"/>
    <w:link w:val="Titolo4"/>
    <w:uiPriority w:val="99"/>
    <w:semiHidden/>
    <w:rsid w:val="00D97861"/>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D97861"/>
    <w:pPr>
      <w:tabs>
        <w:tab w:val="left" w:pos="567"/>
        <w:tab w:val="left" w:pos="1134"/>
      </w:tabs>
      <w:jc w:val="left"/>
    </w:pPr>
  </w:style>
  <w:style w:type="character" w:customStyle="1" w:styleId="Titolo5Carattere">
    <w:name w:val="Titolo 5 Carattere"/>
    <w:basedOn w:val="Carpredefinitoparagrafo"/>
    <w:link w:val="Titolo5"/>
    <w:uiPriority w:val="99"/>
    <w:semiHidden/>
    <w:rsid w:val="00D97861"/>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D97861"/>
    <w:pPr>
      <w:ind w:left="635" w:hanging="357"/>
      <w:outlineLvl w:val="2"/>
    </w:pPr>
  </w:style>
  <w:style w:type="paragraph" w:customStyle="1" w:styleId="OpiHa">
    <w:name w:val="Opi_H_a"/>
    <w:basedOn w:val="ECHRHeading3"/>
    <w:uiPriority w:val="43"/>
    <w:semiHidden/>
    <w:qFormat/>
    <w:rsid w:val="00D97861"/>
    <w:pPr>
      <w:ind w:left="833" w:hanging="357"/>
      <w:outlineLvl w:val="3"/>
    </w:pPr>
    <w:rPr>
      <w:b/>
      <w:i w:val="0"/>
      <w:sz w:val="20"/>
    </w:rPr>
  </w:style>
  <w:style w:type="character" w:styleId="Enfasidelicata">
    <w:name w:val="Subtle Emphasis"/>
    <w:uiPriority w:val="99"/>
    <w:semiHidden/>
    <w:qFormat/>
    <w:rsid w:val="00D97861"/>
    <w:rPr>
      <w:i/>
      <w:iCs/>
    </w:rPr>
  </w:style>
  <w:style w:type="paragraph" w:customStyle="1" w:styleId="OpiHA0">
    <w:name w:val="Opi_H_A"/>
    <w:basedOn w:val="ECHRHeading1"/>
    <w:next w:val="OpiPara"/>
    <w:uiPriority w:val="41"/>
    <w:semiHidden/>
    <w:qFormat/>
    <w:rsid w:val="00D97861"/>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D97861"/>
    <w:pPr>
      <w:ind w:left="1037" w:hanging="357"/>
      <w:outlineLvl w:val="4"/>
    </w:pPr>
    <w:rPr>
      <w:b w:val="0"/>
      <w:i/>
    </w:rPr>
  </w:style>
  <w:style w:type="paragraph" w:customStyle="1" w:styleId="OpiPara">
    <w:name w:val="Opi_Para"/>
    <w:basedOn w:val="ECHRPara"/>
    <w:uiPriority w:val="46"/>
    <w:semiHidden/>
    <w:qFormat/>
    <w:rsid w:val="00D97861"/>
  </w:style>
  <w:style w:type="paragraph" w:customStyle="1" w:styleId="ECHRTitleCentre2">
    <w:name w:val="ECHR_Title_Centre_2"/>
    <w:aliases w:val="Dec_H_Case"/>
    <w:basedOn w:val="Normale"/>
    <w:next w:val="ECHRPara"/>
    <w:uiPriority w:val="8"/>
    <w:qFormat/>
    <w:rsid w:val="00D97861"/>
    <w:pPr>
      <w:spacing w:after="240"/>
      <w:jc w:val="center"/>
      <w:outlineLvl w:val="0"/>
    </w:pPr>
    <w:rPr>
      <w:rFonts w:asciiTheme="majorHAnsi" w:hAnsiTheme="majorHAnsi"/>
    </w:rPr>
  </w:style>
  <w:style w:type="character" w:styleId="Enfasicorsivo">
    <w:name w:val="Emphasis"/>
    <w:uiPriority w:val="99"/>
    <w:semiHidden/>
    <w:qFormat/>
    <w:rsid w:val="00D97861"/>
    <w:rPr>
      <w:b/>
      <w:bCs/>
      <w:i/>
      <w:iCs/>
      <w:spacing w:val="10"/>
      <w:bdr w:val="none" w:sz="0" w:space="0" w:color="auto"/>
      <w:shd w:val="clear" w:color="auto" w:fill="auto"/>
    </w:rPr>
  </w:style>
  <w:style w:type="paragraph" w:styleId="Pidipagina">
    <w:name w:val="footer"/>
    <w:basedOn w:val="Normale"/>
    <w:link w:val="PidipaginaCarattere"/>
    <w:uiPriority w:val="57"/>
    <w:semiHidden/>
    <w:rsid w:val="00D9786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97861"/>
    <w:rPr>
      <w:sz w:val="24"/>
      <w:lang w:val="en-GB"/>
    </w:rPr>
  </w:style>
  <w:style w:type="character" w:styleId="Rimandonotaapidipagina">
    <w:name w:val="footnote reference"/>
    <w:basedOn w:val="Carpredefinitoparagrafo"/>
    <w:uiPriority w:val="99"/>
    <w:semiHidden/>
    <w:rsid w:val="00D97861"/>
    <w:rPr>
      <w:vertAlign w:val="superscript"/>
    </w:rPr>
  </w:style>
  <w:style w:type="paragraph" w:styleId="Testonotaapidipagina">
    <w:name w:val="footnote text"/>
    <w:basedOn w:val="Normale"/>
    <w:link w:val="TestonotaapidipaginaCarattere"/>
    <w:uiPriority w:val="99"/>
    <w:semiHidden/>
    <w:rsid w:val="00D97861"/>
    <w:rPr>
      <w:sz w:val="20"/>
      <w:szCs w:val="20"/>
    </w:rPr>
  </w:style>
  <w:style w:type="character" w:customStyle="1" w:styleId="TestonotaapidipaginaCarattere">
    <w:name w:val="Testo nota a piè di pagina Carattere"/>
    <w:basedOn w:val="Carpredefinitoparagrafo"/>
    <w:link w:val="Testonotaapidipagina"/>
    <w:uiPriority w:val="99"/>
    <w:semiHidden/>
    <w:rsid w:val="00D97861"/>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D97861"/>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D9786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9786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9786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97861"/>
    <w:rPr>
      <w:color w:val="0072BC" w:themeColor="hyperlink"/>
      <w:u w:val="single"/>
    </w:rPr>
  </w:style>
  <w:style w:type="character" w:styleId="Enfasiintensa">
    <w:name w:val="Intense Emphasis"/>
    <w:uiPriority w:val="99"/>
    <w:semiHidden/>
    <w:qFormat/>
    <w:rsid w:val="00D97861"/>
    <w:rPr>
      <w:b/>
      <w:bCs/>
    </w:rPr>
  </w:style>
  <w:style w:type="paragraph" w:styleId="Citazioneintensa">
    <w:name w:val="Intense Quote"/>
    <w:basedOn w:val="Normale"/>
    <w:next w:val="Normale"/>
    <w:link w:val="CitazioneintensaCarattere"/>
    <w:uiPriority w:val="99"/>
    <w:semiHidden/>
    <w:qFormat/>
    <w:rsid w:val="00D9786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97861"/>
    <w:rPr>
      <w:rFonts w:eastAsiaTheme="minorEastAsia"/>
      <w:b/>
      <w:bCs/>
      <w:i/>
      <w:iCs/>
      <w:lang w:bidi="en-US"/>
    </w:rPr>
  </w:style>
  <w:style w:type="character" w:styleId="Riferimentointenso">
    <w:name w:val="Intense Reference"/>
    <w:uiPriority w:val="99"/>
    <w:semiHidden/>
    <w:qFormat/>
    <w:rsid w:val="00D97861"/>
    <w:rPr>
      <w:smallCaps/>
      <w:spacing w:val="5"/>
      <w:u w:val="single"/>
    </w:rPr>
  </w:style>
  <w:style w:type="paragraph" w:styleId="Paragrafoelenco">
    <w:name w:val="List Paragraph"/>
    <w:basedOn w:val="Normale"/>
    <w:uiPriority w:val="99"/>
    <w:semiHidden/>
    <w:qFormat/>
    <w:rsid w:val="00D9786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9786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97861"/>
    <w:rPr>
      <w:rFonts w:eastAsiaTheme="minorEastAsia"/>
      <w:i/>
      <w:iCs/>
      <w:lang w:bidi="en-US"/>
    </w:rPr>
  </w:style>
  <w:style w:type="character" w:styleId="Riferimentodelicato">
    <w:name w:val="Subtle Reference"/>
    <w:uiPriority w:val="99"/>
    <w:semiHidden/>
    <w:qFormat/>
    <w:rsid w:val="00D97861"/>
    <w:rPr>
      <w:smallCaps/>
    </w:rPr>
  </w:style>
  <w:style w:type="table" w:styleId="Grigliatabella">
    <w:name w:val="Table Grid"/>
    <w:basedOn w:val="Tabellanormale"/>
    <w:uiPriority w:val="59"/>
    <w:semiHidden/>
    <w:rsid w:val="00D978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9786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9786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9786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9786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9786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9786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9786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D97861"/>
  </w:style>
  <w:style w:type="paragraph" w:customStyle="1" w:styleId="OpiQuot">
    <w:name w:val="Opi_Quot"/>
    <w:basedOn w:val="ECHRParaQuote"/>
    <w:uiPriority w:val="48"/>
    <w:semiHidden/>
    <w:qFormat/>
    <w:rsid w:val="00D97861"/>
  </w:style>
  <w:style w:type="paragraph" w:styleId="Sottotitolo">
    <w:name w:val="Subtitle"/>
    <w:basedOn w:val="Normale"/>
    <w:next w:val="Normale"/>
    <w:link w:val="SottotitoloCarattere"/>
    <w:uiPriority w:val="99"/>
    <w:semiHidden/>
    <w:qFormat/>
    <w:rsid w:val="00D97861"/>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D97861"/>
    <w:pPr>
      <w:ind w:firstLine="284"/>
    </w:pPr>
  </w:style>
  <w:style w:type="character" w:customStyle="1" w:styleId="SottotitoloCarattere">
    <w:name w:val="Sottotitolo Carattere"/>
    <w:basedOn w:val="Carpredefinitoparagrafo"/>
    <w:link w:val="Sottotitolo"/>
    <w:uiPriority w:val="99"/>
    <w:semiHidden/>
    <w:rsid w:val="00D97861"/>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9786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D97861"/>
    <w:pPr>
      <w:tabs>
        <w:tab w:val="center" w:pos="851"/>
        <w:tab w:val="center" w:pos="6407"/>
      </w:tabs>
      <w:spacing w:before="720"/>
      <w:jc w:val="left"/>
    </w:pPr>
  </w:style>
  <w:style w:type="paragraph" w:customStyle="1" w:styleId="JuTitle">
    <w:name w:val="Ju_Title"/>
    <w:basedOn w:val="Normale"/>
    <w:next w:val="ECHRPara"/>
    <w:uiPriority w:val="3"/>
    <w:qFormat/>
    <w:rsid w:val="00D97861"/>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D97861"/>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D9786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9786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9786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D97861"/>
  </w:style>
  <w:style w:type="paragraph" w:customStyle="1" w:styleId="ECHRFooter">
    <w:name w:val="ECHR_Footer"/>
    <w:aliases w:val="Footer_ECHR"/>
    <w:basedOn w:val="Pidipagina"/>
    <w:uiPriority w:val="57"/>
    <w:semiHidden/>
    <w:rsid w:val="00D97861"/>
    <w:pPr>
      <w:jc w:val="left"/>
    </w:pPr>
    <w:rPr>
      <w:sz w:val="8"/>
    </w:rPr>
  </w:style>
  <w:style w:type="paragraph" w:customStyle="1" w:styleId="ECHRFooterLine">
    <w:name w:val="ECHR_Footer_Line"/>
    <w:aliases w:val="Footer_Line"/>
    <w:basedOn w:val="Normale"/>
    <w:next w:val="ECHRFooter"/>
    <w:uiPriority w:val="57"/>
    <w:semiHidden/>
    <w:rsid w:val="00D97861"/>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D97861"/>
    <w:pPr>
      <w:jc w:val="center"/>
      <w:outlineLvl w:val="0"/>
    </w:pPr>
    <w:rPr>
      <w:i/>
    </w:rPr>
  </w:style>
  <w:style w:type="character" w:customStyle="1" w:styleId="ECHRParaChar">
    <w:name w:val="ECHR_Para Char"/>
    <w:aliases w:val="Ju_Para Char"/>
    <w:link w:val="ECHRPara"/>
    <w:uiPriority w:val="12"/>
    <w:rsid w:val="00E6791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9F1F-F838-49DE-84ED-3DE44327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0CC5D2-0175-433B-A01E-6E582DE944AB}">
  <ds:schemaRefs>
    <ds:schemaRef ds:uri="http://schemas.microsoft.com/sharepoint/v3/contenttype/forms"/>
  </ds:schemaRefs>
</ds:datastoreItem>
</file>

<file path=customXml/itemProps3.xml><?xml version="1.0" encoding="utf-8"?>
<ds:datastoreItem xmlns:ds="http://schemas.openxmlformats.org/officeDocument/2006/customXml" ds:itemID="{AC2156D2-4E2F-4DFC-A02E-D2CF98B4D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4EB3B-80A6-4B4B-961A-6ADD6867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2018-02-12T14:32:00Z</dcterms:created>
  <dcterms:modified xsi:type="dcterms:W3CDTF">2018-02-12T14:32:00Z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30290/15</vt:lpwstr>
  </property>
  <property fmtid="{D5CDD505-2E9C-101B-9397-08002B2CF9AE}" pid="4" name="CASEID">
    <vt:lpwstr>1140648</vt:lpwstr>
  </property>
  <property fmtid="{D5CDD505-2E9C-101B-9397-08002B2CF9AE}" pid="5" name="ContentTypeId">
    <vt:lpwstr>0x010100558EB02BDB9E204AB350EDD385B68E10</vt:lpwstr>
  </property>
</Properties>
</file>